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23" w:rsidRPr="00E96C5B" w:rsidRDefault="00396723">
      <w:pPr>
        <w:ind w:left="1410" w:hanging="1410"/>
        <w:jc w:val="center"/>
        <w:rPr>
          <w:b/>
          <w:bCs/>
          <w:sz w:val="18"/>
        </w:rPr>
      </w:pPr>
      <w:bookmarkStart w:id="0" w:name="_GoBack"/>
      <w:bookmarkEnd w:id="0"/>
    </w:p>
    <w:p w:rsidR="001A2B7A" w:rsidRPr="00E96C5B" w:rsidRDefault="00396723">
      <w:pPr>
        <w:ind w:left="1410" w:hanging="1410"/>
        <w:jc w:val="center"/>
        <w:outlineLvl w:val="0"/>
        <w:rPr>
          <w:b/>
          <w:bCs/>
          <w:i w:val="0"/>
          <w:sz w:val="18"/>
        </w:rPr>
      </w:pPr>
      <w:r w:rsidRPr="00E96C5B">
        <w:rPr>
          <w:b/>
          <w:bCs/>
          <w:i w:val="0"/>
          <w:sz w:val="18"/>
        </w:rPr>
        <w:t xml:space="preserve">ANEXO </w:t>
      </w:r>
      <w:r w:rsidR="001602B2" w:rsidRPr="00E96C5B">
        <w:rPr>
          <w:b/>
          <w:bCs/>
          <w:i w:val="0"/>
          <w:sz w:val="18"/>
        </w:rPr>
        <w:t>2</w:t>
      </w:r>
      <w:r w:rsidRPr="00E96C5B">
        <w:rPr>
          <w:b/>
          <w:bCs/>
          <w:i w:val="0"/>
          <w:sz w:val="18"/>
        </w:rPr>
        <w:t xml:space="preserve"> </w:t>
      </w:r>
    </w:p>
    <w:p w:rsidR="00396723" w:rsidRPr="00E96C5B" w:rsidRDefault="00396723">
      <w:pPr>
        <w:ind w:left="1410" w:hanging="1410"/>
        <w:jc w:val="center"/>
        <w:outlineLvl w:val="0"/>
        <w:rPr>
          <w:b/>
          <w:bCs/>
          <w:i w:val="0"/>
          <w:sz w:val="18"/>
        </w:rPr>
      </w:pPr>
    </w:p>
    <w:p w:rsidR="00396723" w:rsidRPr="00E96C5B" w:rsidRDefault="00396723" w:rsidP="00C77157">
      <w:pPr>
        <w:pBdr>
          <w:left w:val="single" w:sz="4" w:space="4" w:color="auto"/>
        </w:pBdr>
        <w:jc w:val="center"/>
        <w:outlineLvl w:val="0"/>
        <w:rPr>
          <w:b/>
          <w:bCs/>
          <w:i w:val="0"/>
          <w:sz w:val="18"/>
        </w:rPr>
      </w:pPr>
      <w:r w:rsidRPr="00E96C5B">
        <w:rPr>
          <w:b/>
          <w:bCs/>
          <w:i w:val="0"/>
          <w:sz w:val="18"/>
        </w:rPr>
        <w:t xml:space="preserve">METODOLOGÍA PARA LA </w:t>
      </w:r>
      <w:r w:rsidR="001A2B7A" w:rsidRPr="00E96C5B">
        <w:rPr>
          <w:b/>
          <w:bCs/>
          <w:i w:val="0"/>
          <w:sz w:val="18"/>
        </w:rPr>
        <w:t>MEDICIÓN Y REPORTE ESTÁNDAR</w:t>
      </w:r>
      <w:r w:rsidRPr="00E96C5B">
        <w:rPr>
          <w:b/>
          <w:bCs/>
          <w:i w:val="0"/>
          <w:sz w:val="18"/>
        </w:rPr>
        <w:t xml:space="preserve"> DEL RIESGO DE LIQUIDEZ DE L</w:t>
      </w:r>
      <w:r w:rsidR="001602B2" w:rsidRPr="00E96C5B">
        <w:rPr>
          <w:b/>
          <w:bCs/>
          <w:i w:val="0"/>
          <w:sz w:val="18"/>
        </w:rPr>
        <w:t>AS SOCIEDADES COMISIONISTAS</w:t>
      </w:r>
      <w:r w:rsidRPr="00E96C5B">
        <w:rPr>
          <w:b/>
          <w:bCs/>
          <w:i w:val="0"/>
          <w:sz w:val="18"/>
        </w:rPr>
        <w:t xml:space="preserve"> </w:t>
      </w:r>
      <w:r w:rsidR="001602B2" w:rsidRPr="00E96C5B">
        <w:rPr>
          <w:b/>
          <w:bCs/>
          <w:i w:val="0"/>
          <w:sz w:val="18"/>
        </w:rPr>
        <w:t>DE BOLSA DE VALORES</w:t>
      </w:r>
    </w:p>
    <w:p w:rsidR="00396723" w:rsidRPr="00E96C5B" w:rsidRDefault="00396723">
      <w:pPr>
        <w:pStyle w:val="Textoindependiente"/>
        <w:rPr>
          <w:i w:val="0"/>
          <w:sz w:val="18"/>
          <w:szCs w:val="18"/>
        </w:rPr>
      </w:pPr>
    </w:p>
    <w:p w:rsidR="003B32DF" w:rsidRPr="00E96C5B" w:rsidRDefault="003B32DF">
      <w:pPr>
        <w:pStyle w:val="Textoindependiente"/>
        <w:rPr>
          <w:i w:val="0"/>
          <w:sz w:val="18"/>
          <w:szCs w:val="18"/>
        </w:rPr>
      </w:pPr>
    </w:p>
    <w:p w:rsidR="00396723" w:rsidRPr="00E96C5B" w:rsidRDefault="00396723" w:rsidP="00EA37CF">
      <w:pPr>
        <w:pStyle w:val="Normal9pt"/>
        <w:numPr>
          <w:ilvl w:val="0"/>
          <w:numId w:val="8"/>
        </w:numPr>
        <w:rPr>
          <w:b/>
          <w:i w:val="0"/>
        </w:rPr>
      </w:pPr>
      <w:r w:rsidRPr="00E96C5B">
        <w:rPr>
          <w:b/>
          <w:i w:val="0"/>
        </w:rPr>
        <w:t>CONSIDERACIONES GENERALES</w:t>
      </w:r>
    </w:p>
    <w:p w:rsidR="00396723" w:rsidRPr="00E96C5B" w:rsidRDefault="00396723">
      <w:pPr>
        <w:pStyle w:val="Textoindependiente"/>
        <w:rPr>
          <w:i w:val="0"/>
          <w:sz w:val="18"/>
          <w:szCs w:val="18"/>
        </w:rPr>
      </w:pPr>
    </w:p>
    <w:p w:rsidR="00396723" w:rsidRPr="000925CD" w:rsidRDefault="00396723" w:rsidP="000925CD">
      <w:pPr>
        <w:pStyle w:val="Textoindependiente"/>
        <w:pBdr>
          <w:left w:val="single" w:sz="4" w:space="4" w:color="auto"/>
        </w:pBdr>
        <w:rPr>
          <w:b/>
          <w:i w:val="0"/>
          <w:sz w:val="18"/>
          <w:szCs w:val="18"/>
        </w:rPr>
      </w:pPr>
      <w:r w:rsidRPr="000925CD">
        <w:rPr>
          <w:i w:val="0"/>
          <w:sz w:val="18"/>
          <w:szCs w:val="18"/>
        </w:rPr>
        <w:t>En el presente Anexo se establece</w:t>
      </w:r>
      <w:r w:rsidR="0035630F" w:rsidRPr="000925CD">
        <w:rPr>
          <w:i w:val="0"/>
          <w:sz w:val="18"/>
          <w:szCs w:val="18"/>
        </w:rPr>
        <w:tab/>
      </w:r>
      <w:r w:rsidR="0044372E" w:rsidRPr="000925CD">
        <w:rPr>
          <w:i w:val="0"/>
          <w:sz w:val="18"/>
          <w:szCs w:val="18"/>
        </w:rPr>
        <w:t xml:space="preserve"> la metodología para </w:t>
      </w:r>
      <w:r w:rsidR="0044372E" w:rsidRPr="000925CD">
        <w:rPr>
          <w:bCs/>
          <w:i w:val="0"/>
          <w:sz w:val="18"/>
          <w:szCs w:val="18"/>
        </w:rPr>
        <w:t xml:space="preserve">la medición y </w:t>
      </w:r>
      <w:r w:rsidR="00417815" w:rsidRPr="000925CD">
        <w:rPr>
          <w:i w:val="0"/>
          <w:sz w:val="18"/>
          <w:szCs w:val="18"/>
        </w:rPr>
        <w:t xml:space="preserve">las características del </w:t>
      </w:r>
      <w:r w:rsidR="0044372E" w:rsidRPr="000925CD">
        <w:rPr>
          <w:bCs/>
          <w:i w:val="0"/>
          <w:sz w:val="18"/>
          <w:szCs w:val="18"/>
        </w:rPr>
        <w:t>reporte estándar del riesgo de liquidez</w:t>
      </w:r>
      <w:r w:rsidR="007F0B60" w:rsidRPr="000925CD">
        <w:rPr>
          <w:i w:val="0"/>
          <w:sz w:val="18"/>
          <w:szCs w:val="18"/>
        </w:rPr>
        <w:t xml:space="preserve"> derivado de las operaciones realizadas por las sociedades comisionistas de bolsa de valores </w:t>
      </w:r>
      <w:r w:rsidR="00101D2C" w:rsidRPr="000925CD">
        <w:rPr>
          <w:i w:val="0"/>
          <w:sz w:val="18"/>
          <w:szCs w:val="18"/>
        </w:rPr>
        <w:t xml:space="preserve">en </w:t>
      </w:r>
      <w:r w:rsidR="008E6391" w:rsidRPr="000925CD">
        <w:rPr>
          <w:i w:val="0"/>
          <w:sz w:val="18"/>
          <w:szCs w:val="18"/>
        </w:rPr>
        <w:t>cuenta</w:t>
      </w:r>
      <w:r w:rsidR="00101D2C" w:rsidRPr="000925CD">
        <w:rPr>
          <w:i w:val="0"/>
          <w:sz w:val="18"/>
          <w:szCs w:val="18"/>
        </w:rPr>
        <w:t xml:space="preserve"> propia</w:t>
      </w:r>
      <w:r w:rsidR="00906CAF" w:rsidRPr="000925CD">
        <w:rPr>
          <w:b/>
          <w:i w:val="0"/>
          <w:sz w:val="18"/>
          <w:szCs w:val="18"/>
        </w:rPr>
        <w:t xml:space="preserve"> y por cuenta de terceros</w:t>
      </w:r>
      <w:r w:rsidR="00AE328F" w:rsidRPr="000925CD">
        <w:rPr>
          <w:b/>
          <w:i w:val="0"/>
          <w:sz w:val="18"/>
          <w:szCs w:val="18"/>
        </w:rPr>
        <w:t xml:space="preserve"> en desarrollo del contrato de comisión</w:t>
      </w:r>
      <w:r w:rsidR="003B32DF" w:rsidRPr="000925CD">
        <w:rPr>
          <w:i w:val="0"/>
          <w:sz w:val="18"/>
          <w:szCs w:val="18"/>
        </w:rPr>
        <w:t>.</w:t>
      </w:r>
    </w:p>
    <w:p w:rsidR="00966477" w:rsidRPr="000925CD" w:rsidRDefault="00966477" w:rsidP="000925CD">
      <w:pPr>
        <w:pStyle w:val="Textoindependiente"/>
        <w:rPr>
          <w:i w:val="0"/>
          <w:sz w:val="18"/>
          <w:szCs w:val="18"/>
        </w:rPr>
      </w:pPr>
    </w:p>
    <w:p w:rsidR="00966477" w:rsidRPr="000925CD" w:rsidRDefault="00966477" w:rsidP="000925CD">
      <w:pPr>
        <w:pBdr>
          <w:left w:val="single" w:sz="4" w:space="4" w:color="auto"/>
        </w:pBdr>
        <w:jc w:val="both"/>
        <w:rPr>
          <w:i w:val="0"/>
          <w:sz w:val="18"/>
          <w:lang w:val="es-MX"/>
        </w:rPr>
      </w:pPr>
      <w:r w:rsidRPr="000925CD">
        <w:rPr>
          <w:i w:val="0"/>
          <w:sz w:val="18"/>
          <w:lang w:val="es-MX"/>
        </w:rPr>
        <w:t xml:space="preserve">Las sociedades comisionistas de bolsa de valores deberán remitir diariamente a la Superintendencia Financiera de Colombia, al día </w:t>
      </w:r>
      <w:r w:rsidR="005E7C3E" w:rsidRPr="000925CD">
        <w:rPr>
          <w:i w:val="0"/>
          <w:sz w:val="18"/>
          <w:lang w:val="es-MX"/>
        </w:rPr>
        <w:t xml:space="preserve">hábil siguiente, </w:t>
      </w:r>
      <w:r w:rsidR="00906CAF" w:rsidRPr="000925CD">
        <w:rPr>
          <w:b/>
          <w:i w:val="0"/>
          <w:sz w:val="18"/>
          <w:lang w:val="es-MX"/>
        </w:rPr>
        <w:t>la</w:t>
      </w:r>
      <w:r w:rsidR="003414EF" w:rsidRPr="000925CD">
        <w:rPr>
          <w:b/>
          <w:i w:val="0"/>
          <w:sz w:val="18"/>
          <w:lang w:val="es-MX"/>
        </w:rPr>
        <w:t>s</w:t>
      </w:r>
      <w:r w:rsidR="00906CAF" w:rsidRPr="000925CD">
        <w:rPr>
          <w:b/>
          <w:i w:val="0"/>
          <w:sz w:val="18"/>
          <w:lang w:val="es-MX"/>
        </w:rPr>
        <w:t xml:space="preserve"> proforma</w:t>
      </w:r>
      <w:r w:rsidR="003414EF" w:rsidRPr="000925CD">
        <w:rPr>
          <w:b/>
          <w:i w:val="0"/>
          <w:sz w:val="18"/>
          <w:lang w:val="es-MX"/>
        </w:rPr>
        <w:t>s</w:t>
      </w:r>
      <w:r w:rsidR="00906CAF" w:rsidRPr="000925CD">
        <w:rPr>
          <w:b/>
          <w:i w:val="0"/>
          <w:sz w:val="18"/>
          <w:lang w:val="es-MX"/>
        </w:rPr>
        <w:t xml:space="preserve"> F8000-</w:t>
      </w:r>
      <w:r w:rsidR="00056205" w:rsidRPr="000925CD">
        <w:rPr>
          <w:b/>
          <w:i w:val="0"/>
          <w:sz w:val="18"/>
          <w:lang w:val="es-MX"/>
        </w:rPr>
        <w:t>61</w:t>
      </w:r>
      <w:r w:rsidR="003414EF" w:rsidRPr="000925CD">
        <w:rPr>
          <w:b/>
          <w:i w:val="0"/>
          <w:sz w:val="18"/>
          <w:lang w:val="es-MX"/>
        </w:rPr>
        <w:t xml:space="preserve"> y F8000-54</w:t>
      </w:r>
      <w:r w:rsidR="00906CAF" w:rsidRPr="000925CD">
        <w:rPr>
          <w:b/>
          <w:i w:val="0"/>
          <w:sz w:val="18"/>
          <w:lang w:val="es-MX"/>
        </w:rPr>
        <w:t xml:space="preserve"> (</w:t>
      </w:r>
      <w:r w:rsidR="005E7C3E" w:rsidRPr="000925CD">
        <w:rPr>
          <w:i w:val="0"/>
          <w:sz w:val="18"/>
          <w:lang w:val="es-MX"/>
        </w:rPr>
        <w:t>formato</w:t>
      </w:r>
      <w:r w:rsidR="003414EF" w:rsidRPr="000925CD">
        <w:rPr>
          <w:b/>
          <w:i w:val="0"/>
          <w:sz w:val="18"/>
          <w:lang w:val="es-MX"/>
        </w:rPr>
        <w:t>s</w:t>
      </w:r>
      <w:r w:rsidR="005E7C3E" w:rsidRPr="000925CD">
        <w:rPr>
          <w:i w:val="0"/>
          <w:sz w:val="18"/>
          <w:lang w:val="es-MX"/>
        </w:rPr>
        <w:t xml:space="preserve"> </w:t>
      </w:r>
      <w:r w:rsidR="00056205" w:rsidRPr="000925CD">
        <w:rPr>
          <w:b/>
          <w:i w:val="0"/>
          <w:sz w:val="18"/>
          <w:lang w:val="es-MX"/>
        </w:rPr>
        <w:t>508</w:t>
      </w:r>
      <w:r w:rsidR="003414EF" w:rsidRPr="000925CD">
        <w:rPr>
          <w:b/>
          <w:i w:val="0"/>
          <w:sz w:val="18"/>
          <w:lang w:val="es-MX"/>
        </w:rPr>
        <w:t xml:space="preserve"> y 476</w:t>
      </w:r>
      <w:r w:rsidR="00906CAF" w:rsidRPr="000925CD">
        <w:rPr>
          <w:b/>
          <w:i w:val="0"/>
          <w:sz w:val="18"/>
          <w:lang w:val="es-MX"/>
        </w:rPr>
        <w:t>)</w:t>
      </w:r>
      <w:r w:rsidR="005E7C3E" w:rsidRPr="000925CD">
        <w:rPr>
          <w:i w:val="0"/>
          <w:sz w:val="18"/>
          <w:lang w:val="es-MX"/>
        </w:rPr>
        <w:t xml:space="preserve">. </w:t>
      </w:r>
      <w:r w:rsidR="00616C6D" w:rsidRPr="000925CD">
        <w:rPr>
          <w:i w:val="0"/>
          <w:sz w:val="18"/>
          <w:lang w:val="es-MX"/>
        </w:rPr>
        <w:t>En d</w:t>
      </w:r>
      <w:r w:rsidR="005E7C3E" w:rsidRPr="000925CD">
        <w:rPr>
          <w:i w:val="0"/>
          <w:sz w:val="18"/>
          <w:lang w:val="es-MX"/>
        </w:rPr>
        <w:t>icho</w:t>
      </w:r>
      <w:r w:rsidR="003414EF" w:rsidRPr="000925CD">
        <w:rPr>
          <w:b/>
          <w:i w:val="0"/>
          <w:sz w:val="18"/>
          <w:lang w:val="es-MX"/>
        </w:rPr>
        <w:t>s</w:t>
      </w:r>
      <w:r w:rsidR="005E7C3E" w:rsidRPr="000925CD">
        <w:rPr>
          <w:i w:val="0"/>
          <w:sz w:val="18"/>
          <w:lang w:val="es-MX"/>
        </w:rPr>
        <w:t xml:space="preserve"> formato</w:t>
      </w:r>
      <w:r w:rsidR="003414EF" w:rsidRPr="000925CD">
        <w:rPr>
          <w:b/>
          <w:i w:val="0"/>
          <w:sz w:val="18"/>
          <w:lang w:val="es-MX"/>
        </w:rPr>
        <w:t>s</w:t>
      </w:r>
      <w:r w:rsidR="00616C6D" w:rsidRPr="000925CD">
        <w:rPr>
          <w:i w:val="0"/>
          <w:sz w:val="18"/>
          <w:lang w:val="es-MX"/>
        </w:rPr>
        <w:t xml:space="preserve"> se</w:t>
      </w:r>
      <w:r w:rsidRPr="000925CD">
        <w:rPr>
          <w:i w:val="0"/>
          <w:sz w:val="18"/>
          <w:lang w:val="es-MX"/>
        </w:rPr>
        <w:t xml:space="preserve"> deberá registrar la información vigente a la fecha de corte sin incluir ningún tipo de proyección. Es</w:t>
      </w:r>
      <w:r w:rsidR="003414EF" w:rsidRPr="000925CD">
        <w:rPr>
          <w:i w:val="0"/>
          <w:sz w:val="18"/>
          <w:lang w:val="es-MX"/>
        </w:rPr>
        <w:t xml:space="preserve"> </w:t>
      </w:r>
      <w:r w:rsidR="003414EF" w:rsidRPr="000925CD">
        <w:rPr>
          <w:b/>
          <w:i w:val="0"/>
          <w:sz w:val="18"/>
          <w:lang w:val="es-MX"/>
        </w:rPr>
        <w:t>decir</w:t>
      </w:r>
      <w:r w:rsidRPr="000925CD">
        <w:rPr>
          <w:i w:val="0"/>
          <w:sz w:val="18"/>
          <w:lang w:val="es-MX"/>
        </w:rPr>
        <w:t xml:space="preserve">, </w:t>
      </w:r>
      <w:r w:rsidR="003414EF" w:rsidRPr="000925CD">
        <w:rPr>
          <w:b/>
          <w:i w:val="0"/>
          <w:sz w:val="18"/>
          <w:lang w:val="es-MX"/>
        </w:rPr>
        <w:t>la información remitida</w:t>
      </w:r>
      <w:r w:rsidR="003414EF" w:rsidRPr="000925CD">
        <w:rPr>
          <w:i w:val="0"/>
          <w:sz w:val="18"/>
          <w:lang w:val="es-MX"/>
        </w:rPr>
        <w:t xml:space="preserve"> </w:t>
      </w:r>
      <w:r w:rsidRPr="000925CD">
        <w:rPr>
          <w:i w:val="0"/>
          <w:sz w:val="18"/>
          <w:lang w:val="es-MX"/>
        </w:rPr>
        <w:t>no deberá contener ajuste alguno por factores de comportamiento histórico o proyectado u otro tipo de factores que pretendan reflejar determinada evolución prevista del comportamiento.</w:t>
      </w:r>
    </w:p>
    <w:p w:rsidR="00396723" w:rsidRPr="00E96C5B" w:rsidRDefault="00396723">
      <w:pPr>
        <w:pStyle w:val="Textoindependiente"/>
        <w:rPr>
          <w:sz w:val="18"/>
          <w:szCs w:val="18"/>
        </w:rPr>
      </w:pPr>
    </w:p>
    <w:p w:rsidR="00396723" w:rsidRPr="00E96C5B" w:rsidRDefault="00396723">
      <w:pPr>
        <w:pStyle w:val="Textoindependiente"/>
        <w:rPr>
          <w:i w:val="0"/>
          <w:sz w:val="18"/>
          <w:szCs w:val="18"/>
        </w:rPr>
      </w:pPr>
    </w:p>
    <w:p w:rsidR="00396723" w:rsidRPr="00E96C5B" w:rsidRDefault="00396723" w:rsidP="00EA37CF">
      <w:pPr>
        <w:pStyle w:val="Normal9pt"/>
        <w:numPr>
          <w:ilvl w:val="0"/>
          <w:numId w:val="8"/>
        </w:numPr>
        <w:rPr>
          <w:b/>
          <w:i w:val="0"/>
        </w:rPr>
      </w:pPr>
      <w:r w:rsidRPr="00E96C5B">
        <w:rPr>
          <w:b/>
          <w:i w:val="0"/>
        </w:rPr>
        <w:t>METODOLOGÍA ESTÁNDAR DE MEDICIÓN</w:t>
      </w:r>
    </w:p>
    <w:p w:rsidR="00396723" w:rsidRPr="00E96C5B" w:rsidRDefault="00396723" w:rsidP="00A117AE">
      <w:pPr>
        <w:pStyle w:val="Normal9pt"/>
        <w:numPr>
          <w:ilvl w:val="0"/>
          <w:numId w:val="0"/>
        </w:numPr>
        <w:rPr>
          <w:b/>
          <w:i w:val="0"/>
        </w:rPr>
      </w:pPr>
    </w:p>
    <w:p w:rsidR="00A117AE" w:rsidRPr="000925CD" w:rsidRDefault="00616C6D" w:rsidP="00A117AE">
      <w:pPr>
        <w:pStyle w:val="Normal9pt"/>
        <w:numPr>
          <w:ilvl w:val="0"/>
          <w:numId w:val="0"/>
        </w:numPr>
        <w:rPr>
          <w:i w:val="0"/>
        </w:rPr>
      </w:pPr>
      <w:r w:rsidRPr="000925CD">
        <w:rPr>
          <w:i w:val="0"/>
        </w:rPr>
        <w:t xml:space="preserve">El modelo estándar de </w:t>
      </w:r>
      <w:r w:rsidR="00A117AE" w:rsidRPr="000925CD">
        <w:rPr>
          <w:i w:val="0"/>
        </w:rPr>
        <w:t xml:space="preserve">cálculo del indicador de riesgo de liquidez deberá incorporar lo siguiente: </w:t>
      </w:r>
    </w:p>
    <w:p w:rsidR="002D67CD" w:rsidRPr="000925CD" w:rsidRDefault="002D67CD" w:rsidP="00A117AE">
      <w:pPr>
        <w:pStyle w:val="Normal9pt"/>
        <w:numPr>
          <w:ilvl w:val="0"/>
          <w:numId w:val="0"/>
        </w:numPr>
        <w:rPr>
          <w:b/>
          <w:i w:val="0"/>
        </w:rPr>
      </w:pPr>
    </w:p>
    <w:p w:rsidR="002D67CD" w:rsidRPr="000925CD" w:rsidRDefault="002D67CD" w:rsidP="003B32DF">
      <w:pPr>
        <w:pStyle w:val="Normal9pt"/>
        <w:numPr>
          <w:ilvl w:val="1"/>
          <w:numId w:val="8"/>
        </w:numPr>
        <w:rPr>
          <w:b/>
          <w:i w:val="0"/>
        </w:rPr>
      </w:pPr>
      <w:r w:rsidRPr="000925CD">
        <w:rPr>
          <w:b/>
          <w:i w:val="0"/>
        </w:rPr>
        <w:t>Medición de los activos líquidos (AL)</w:t>
      </w:r>
      <w:r w:rsidR="005B38BD" w:rsidRPr="000925CD">
        <w:rPr>
          <w:b/>
          <w:i w:val="0"/>
        </w:rPr>
        <w:t xml:space="preserve"> </w:t>
      </w:r>
    </w:p>
    <w:p w:rsidR="002D67CD" w:rsidRPr="000925CD" w:rsidRDefault="002D67CD" w:rsidP="002D67CD">
      <w:pPr>
        <w:pStyle w:val="Normal9pt"/>
        <w:numPr>
          <w:ilvl w:val="0"/>
          <w:numId w:val="0"/>
        </w:numPr>
        <w:rPr>
          <w:b/>
          <w:i w:val="0"/>
        </w:rPr>
      </w:pPr>
    </w:p>
    <w:p w:rsidR="00B6201F" w:rsidRPr="000925CD" w:rsidRDefault="00CF7824" w:rsidP="00C26DEB">
      <w:pPr>
        <w:pStyle w:val="Normal9pt"/>
        <w:numPr>
          <w:ilvl w:val="2"/>
          <w:numId w:val="8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b/>
          <w:i w:val="0"/>
        </w:rPr>
        <w:t xml:space="preserve">Definición: </w:t>
      </w:r>
      <w:r w:rsidR="00F1008C" w:rsidRPr="000925CD">
        <w:rPr>
          <w:i w:val="0"/>
        </w:rPr>
        <w:t>Se considerará</w:t>
      </w:r>
      <w:r w:rsidR="008E6391" w:rsidRPr="000925CD">
        <w:rPr>
          <w:i w:val="0"/>
        </w:rPr>
        <w:t xml:space="preserve">n activos líquidos </w:t>
      </w:r>
      <w:r w:rsidR="00605C99" w:rsidRPr="000925CD">
        <w:rPr>
          <w:i w:val="0"/>
        </w:rPr>
        <w:t>aquello</w:t>
      </w:r>
      <w:r w:rsidR="008E6391" w:rsidRPr="000925CD">
        <w:rPr>
          <w:i w:val="0"/>
        </w:rPr>
        <w:t xml:space="preserve">s </w:t>
      </w:r>
      <w:r w:rsidR="00141653" w:rsidRPr="000925CD">
        <w:rPr>
          <w:i w:val="0"/>
        </w:rPr>
        <w:t>de fácil realización</w:t>
      </w:r>
      <w:r w:rsidR="00D94701" w:rsidRPr="000925CD">
        <w:rPr>
          <w:i w:val="0"/>
        </w:rPr>
        <w:t xml:space="preserve"> </w:t>
      </w:r>
      <w:r w:rsidR="00D94701" w:rsidRPr="000925CD">
        <w:rPr>
          <w:b/>
          <w:i w:val="0"/>
        </w:rPr>
        <w:t xml:space="preserve">que forman parte del portafolio de la entidad o </w:t>
      </w:r>
      <w:r w:rsidR="00AE328F" w:rsidRPr="000925CD">
        <w:rPr>
          <w:b/>
          <w:i w:val="0"/>
        </w:rPr>
        <w:t xml:space="preserve">aquellos </w:t>
      </w:r>
      <w:r w:rsidR="00D94701" w:rsidRPr="000925CD">
        <w:rPr>
          <w:b/>
          <w:i w:val="0"/>
        </w:rPr>
        <w:t>que hayan sido recibidos como colaterales en las operaciones activas del mercado monetario</w:t>
      </w:r>
      <w:r w:rsidR="00895CD9" w:rsidRPr="000925CD">
        <w:rPr>
          <w:b/>
          <w:i w:val="0"/>
        </w:rPr>
        <w:t>,</w:t>
      </w:r>
      <w:r w:rsidR="003978F1" w:rsidRPr="000925CD">
        <w:rPr>
          <w:b/>
          <w:i w:val="0"/>
        </w:rPr>
        <w:t xml:space="preserve"> </w:t>
      </w:r>
      <w:r w:rsidR="00625C6B" w:rsidRPr="000925CD">
        <w:rPr>
          <w:b/>
          <w:i w:val="0"/>
        </w:rPr>
        <w:t>no hayan sido utilizados posteriormente en operaciones p</w:t>
      </w:r>
      <w:r w:rsidR="00180183" w:rsidRPr="000925CD">
        <w:rPr>
          <w:b/>
          <w:i w:val="0"/>
        </w:rPr>
        <w:t xml:space="preserve">asivas en el mercado monetario y </w:t>
      </w:r>
      <w:r w:rsidR="00625C6B" w:rsidRPr="000925CD">
        <w:rPr>
          <w:b/>
          <w:i w:val="0"/>
        </w:rPr>
        <w:t>no tengan ninguna restricción de movilidad</w:t>
      </w:r>
      <w:r w:rsidR="00D94701" w:rsidRPr="000925CD">
        <w:rPr>
          <w:b/>
          <w:i w:val="0"/>
        </w:rPr>
        <w:t xml:space="preserve">. </w:t>
      </w:r>
      <w:r w:rsidR="00625C6B" w:rsidRPr="000925CD">
        <w:rPr>
          <w:b/>
          <w:i w:val="0"/>
        </w:rPr>
        <w:t>E</w:t>
      </w:r>
      <w:r w:rsidR="00D94701" w:rsidRPr="000925CD">
        <w:rPr>
          <w:b/>
          <w:i w:val="0"/>
        </w:rPr>
        <w:t>n esta categoría no se deben incluir aquellos</w:t>
      </w:r>
      <w:r w:rsidR="00625C6B" w:rsidRPr="000925CD">
        <w:rPr>
          <w:b/>
          <w:i w:val="0"/>
        </w:rPr>
        <w:t xml:space="preserve"> activos</w:t>
      </w:r>
      <w:r w:rsidR="00D94701" w:rsidRPr="000925CD">
        <w:rPr>
          <w:b/>
          <w:i w:val="0"/>
        </w:rPr>
        <w:t xml:space="preserve"> utilizados como garantías en operaciones pasivas del mercado monetario</w:t>
      </w:r>
      <w:r w:rsidR="00625C6B" w:rsidRPr="000925CD">
        <w:rPr>
          <w:b/>
          <w:i w:val="0"/>
        </w:rPr>
        <w:t xml:space="preserve"> o sujeto</w:t>
      </w:r>
      <w:r w:rsidR="00D94701" w:rsidRPr="000925CD">
        <w:rPr>
          <w:b/>
          <w:i w:val="0"/>
        </w:rPr>
        <w:t>s a cualquier tipo de gravamen, medida preventiva o de cualquier naturaleza, que impida su libre cesión o transferencia.</w:t>
      </w:r>
    </w:p>
    <w:p w:rsidR="00B6201F" w:rsidRPr="000925CD" w:rsidRDefault="00B6201F" w:rsidP="00C26DE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D94701" w:rsidRPr="000925CD" w:rsidRDefault="00D94701" w:rsidP="00C26DEB">
      <w:pPr>
        <w:pStyle w:val="Normal9pt"/>
        <w:numPr>
          <w:ilvl w:val="2"/>
          <w:numId w:val="8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b/>
          <w:i w:val="0"/>
        </w:rPr>
        <w:t xml:space="preserve">Forman parte </w:t>
      </w:r>
      <w:r w:rsidR="00422E41" w:rsidRPr="000925CD">
        <w:rPr>
          <w:b/>
          <w:i w:val="0"/>
        </w:rPr>
        <w:t>de esta categoría el disponible,</w:t>
      </w:r>
      <w:r w:rsidR="00EA37CF" w:rsidRPr="000925CD">
        <w:rPr>
          <w:b/>
          <w:i w:val="0"/>
        </w:rPr>
        <w:t xml:space="preserve"> las participaciones en </w:t>
      </w:r>
      <w:r w:rsidR="000925CD" w:rsidRPr="000925CD">
        <w:rPr>
          <w:b/>
          <w:i w:val="0"/>
        </w:rPr>
        <w:t xml:space="preserve">fondos de inversión colectiva </w:t>
      </w:r>
      <w:r w:rsidR="00EA37CF" w:rsidRPr="000925CD">
        <w:rPr>
          <w:b/>
          <w:i w:val="0"/>
        </w:rPr>
        <w:t>abiert</w:t>
      </w:r>
      <w:r w:rsidR="000925CD" w:rsidRPr="000925CD">
        <w:rPr>
          <w:b/>
          <w:i w:val="0"/>
        </w:rPr>
        <w:t>o</w:t>
      </w:r>
      <w:r w:rsidR="00EA37CF" w:rsidRPr="000925CD">
        <w:rPr>
          <w:b/>
          <w:i w:val="0"/>
        </w:rPr>
        <w:t>s sin pacto de permanencia</w:t>
      </w:r>
      <w:r w:rsidR="00431D24" w:rsidRPr="000925CD">
        <w:rPr>
          <w:b/>
          <w:i w:val="0"/>
        </w:rPr>
        <w:t>, las acciones inscritas en una bolsa de valores en Colombia</w:t>
      </w:r>
      <w:r w:rsidR="004B0E11" w:rsidRPr="004B0E11">
        <w:rPr>
          <w:sz w:val="20"/>
        </w:rPr>
        <w:t xml:space="preserve"> </w:t>
      </w:r>
      <w:r w:rsidR="004B0E11" w:rsidRPr="004B0E11">
        <w:rPr>
          <w:b/>
          <w:i w:val="0"/>
        </w:rPr>
        <w:t>que sean elegibles para ser objeto de operaciones reporto o repo</w:t>
      </w:r>
      <w:r w:rsidR="00D863EA">
        <w:rPr>
          <w:b/>
          <w:i w:val="0"/>
        </w:rPr>
        <w:t xml:space="preserve"> y </w:t>
      </w:r>
      <w:r w:rsidRPr="000925CD">
        <w:rPr>
          <w:b/>
          <w:i w:val="0"/>
        </w:rPr>
        <w:t>las inversiones negociables y disponibles para la venta en títulos de renta fija.</w:t>
      </w:r>
    </w:p>
    <w:p w:rsidR="00D94701" w:rsidRPr="000925CD" w:rsidRDefault="00D94701" w:rsidP="00C26DE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57D94" w:rsidRPr="000925CD" w:rsidRDefault="00357D94" w:rsidP="00C26DEB">
      <w:pPr>
        <w:pStyle w:val="Normal9pt"/>
        <w:numPr>
          <w:ilvl w:val="2"/>
          <w:numId w:val="8"/>
        </w:numPr>
        <w:pBdr>
          <w:left w:val="single" w:sz="4" w:space="4" w:color="auto"/>
        </w:pBdr>
        <w:rPr>
          <w:i w:val="0"/>
        </w:rPr>
      </w:pPr>
      <w:r w:rsidRPr="000925CD">
        <w:rPr>
          <w:b/>
          <w:i w:val="0"/>
        </w:rPr>
        <w:t xml:space="preserve">Haircuts aplicables a los activos líquidos (AL): </w:t>
      </w:r>
      <w:r w:rsidRPr="000925CD">
        <w:rPr>
          <w:i w:val="0"/>
        </w:rPr>
        <w:t>En el día de corte</w:t>
      </w:r>
      <w:r w:rsidR="004E37A4" w:rsidRPr="000925CD">
        <w:rPr>
          <w:i w:val="0"/>
        </w:rPr>
        <w:t>,</w:t>
      </w:r>
      <w:r w:rsidRPr="000925CD">
        <w:rPr>
          <w:i w:val="0"/>
        </w:rPr>
        <w:t xml:space="preserve"> a los activos anteriormente señalados, se les debe aplicar los siguientes haircuts o descuentos sobre su precio justo de intercambio según corresponda:</w:t>
      </w:r>
    </w:p>
    <w:p w:rsidR="00357D94" w:rsidRPr="000925CD" w:rsidRDefault="00357D94" w:rsidP="00C26DE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357D94" w:rsidRPr="000925CD" w:rsidRDefault="001B7CEE" w:rsidP="00C26DEB">
      <w:pPr>
        <w:pStyle w:val="Normal9pt"/>
        <w:numPr>
          <w:ilvl w:val="3"/>
          <w:numId w:val="8"/>
        </w:numPr>
        <w:pBdr>
          <w:left w:val="single" w:sz="4" w:space="4" w:color="auto"/>
        </w:pBdr>
        <w:rPr>
          <w:i w:val="0"/>
        </w:rPr>
      </w:pPr>
      <w:r w:rsidRPr="000925CD">
        <w:rPr>
          <w:i w:val="0"/>
        </w:rPr>
        <w:t>L</w:t>
      </w:r>
      <w:r w:rsidR="00141653" w:rsidRPr="000925CD">
        <w:rPr>
          <w:i w:val="0"/>
        </w:rPr>
        <w:t xml:space="preserve">os haircuts </w:t>
      </w:r>
      <w:r w:rsidRPr="000925CD">
        <w:rPr>
          <w:i w:val="0"/>
        </w:rPr>
        <w:t xml:space="preserve">o descuentos </w:t>
      </w:r>
      <w:r w:rsidR="00141653" w:rsidRPr="000925CD">
        <w:rPr>
          <w:i w:val="0"/>
        </w:rPr>
        <w:t xml:space="preserve">que aplica el Banco de la República a los distintos </w:t>
      </w:r>
      <w:r w:rsidRPr="000925CD">
        <w:rPr>
          <w:i w:val="0"/>
        </w:rPr>
        <w:t>valores</w:t>
      </w:r>
      <w:r w:rsidR="00141653" w:rsidRPr="000925CD">
        <w:rPr>
          <w:i w:val="0"/>
        </w:rPr>
        <w:t xml:space="preserve"> para la realización de operaciones repo, los cuales son actualizados y publicados en la página web del Banco. </w:t>
      </w:r>
    </w:p>
    <w:p w:rsidR="00357D94" w:rsidRPr="000925CD" w:rsidRDefault="00357D94" w:rsidP="00C26DE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357D94" w:rsidRPr="000925CD" w:rsidRDefault="005B2A15" w:rsidP="00C26DEB">
      <w:pPr>
        <w:pStyle w:val="Normal9pt"/>
        <w:numPr>
          <w:ilvl w:val="3"/>
          <w:numId w:val="8"/>
        </w:numPr>
        <w:pBdr>
          <w:left w:val="single" w:sz="4" w:space="4" w:color="auto"/>
        </w:pBdr>
        <w:rPr>
          <w:i w:val="0"/>
        </w:rPr>
      </w:pPr>
      <w:r w:rsidRPr="000925CD">
        <w:rPr>
          <w:i w:val="0"/>
        </w:rPr>
        <w:t xml:space="preserve">El </w:t>
      </w:r>
      <w:r w:rsidRPr="000925CD">
        <w:rPr>
          <w:b/>
          <w:i w:val="0"/>
        </w:rPr>
        <w:t>2</w:t>
      </w:r>
      <w:r w:rsidR="001B7CEE" w:rsidRPr="000925CD">
        <w:rPr>
          <w:b/>
          <w:i w:val="0"/>
        </w:rPr>
        <w:t>0%</w:t>
      </w:r>
      <w:r w:rsidR="001B7CEE" w:rsidRPr="000925CD">
        <w:rPr>
          <w:i w:val="0"/>
        </w:rPr>
        <w:t xml:space="preserve"> sobre el precio justo de intercambio p</w:t>
      </w:r>
      <w:r w:rsidR="00141653" w:rsidRPr="000925CD">
        <w:rPr>
          <w:i w:val="0"/>
        </w:rPr>
        <w:t xml:space="preserve">ara los </w:t>
      </w:r>
      <w:r w:rsidR="001B7CEE" w:rsidRPr="000925CD">
        <w:rPr>
          <w:i w:val="0"/>
        </w:rPr>
        <w:t>valores</w:t>
      </w:r>
      <w:r w:rsidR="00141653" w:rsidRPr="000925CD">
        <w:rPr>
          <w:i w:val="0"/>
        </w:rPr>
        <w:t xml:space="preserve"> que no aparezcan en </w:t>
      </w:r>
      <w:r w:rsidR="001B7CEE" w:rsidRPr="000925CD">
        <w:rPr>
          <w:i w:val="0"/>
        </w:rPr>
        <w:t>el informe del Banco de la República</w:t>
      </w:r>
      <w:r w:rsidR="00A54FDA" w:rsidRPr="000925CD">
        <w:rPr>
          <w:i w:val="0"/>
        </w:rPr>
        <w:t>.</w:t>
      </w:r>
      <w:r w:rsidR="00141653" w:rsidRPr="000925CD">
        <w:rPr>
          <w:i w:val="0"/>
        </w:rPr>
        <w:t xml:space="preserve"> </w:t>
      </w:r>
    </w:p>
    <w:p w:rsidR="002D2EE4" w:rsidRPr="000925CD" w:rsidRDefault="002D2EE4" w:rsidP="0067019B">
      <w:pPr>
        <w:pStyle w:val="Prrafodelista"/>
        <w:pBdr>
          <w:left w:val="single" w:sz="4" w:space="4" w:color="auto"/>
        </w:pBdr>
        <w:ind w:left="0"/>
        <w:rPr>
          <w:i w:val="0"/>
          <w:sz w:val="18"/>
        </w:rPr>
      </w:pPr>
    </w:p>
    <w:p w:rsidR="002D2EE4" w:rsidRPr="000925CD" w:rsidRDefault="00136E1B" w:rsidP="00C26DEB">
      <w:pPr>
        <w:pStyle w:val="Normal9pt"/>
        <w:numPr>
          <w:ilvl w:val="3"/>
          <w:numId w:val="8"/>
        </w:numPr>
        <w:pBdr>
          <w:left w:val="single" w:sz="4" w:space="4" w:color="auto"/>
        </w:pBdr>
        <w:rPr>
          <w:b/>
          <w:i w:val="0"/>
        </w:rPr>
      </w:pPr>
      <w:r>
        <w:rPr>
          <w:b/>
          <w:i w:val="0"/>
        </w:rPr>
        <w:t>El 15</w:t>
      </w:r>
      <w:r w:rsidR="002D2EE4" w:rsidRPr="000925CD">
        <w:rPr>
          <w:b/>
          <w:i w:val="0"/>
        </w:rPr>
        <w:t xml:space="preserve">% para las acciones </w:t>
      </w:r>
      <w:r w:rsidR="0070328D" w:rsidRPr="000925CD">
        <w:rPr>
          <w:b/>
          <w:i w:val="0"/>
        </w:rPr>
        <w:t xml:space="preserve">inscritas en una bolsa de valores en Colombia y </w:t>
      </w:r>
      <w:r w:rsidR="00E85B53" w:rsidRPr="000925CD">
        <w:rPr>
          <w:b/>
          <w:i w:val="0"/>
        </w:rPr>
        <w:t xml:space="preserve">que sean </w:t>
      </w:r>
      <w:r w:rsidR="006038C3" w:rsidRPr="000925CD">
        <w:rPr>
          <w:b/>
          <w:i w:val="0"/>
        </w:rPr>
        <w:t>elegibles para ser objeto de operaciones reporto o repo y al mismo tiempo admisibles como garantía de variación</w:t>
      </w:r>
      <w:r w:rsidR="0070328D" w:rsidRPr="000925CD">
        <w:rPr>
          <w:b/>
          <w:i w:val="0"/>
        </w:rPr>
        <w:t xml:space="preserve"> </w:t>
      </w:r>
      <w:r w:rsidR="00226CB5" w:rsidRPr="000925CD">
        <w:rPr>
          <w:b/>
          <w:i w:val="0"/>
        </w:rPr>
        <w:t xml:space="preserve">en dichas operaciones </w:t>
      </w:r>
      <w:r w:rsidR="0070328D" w:rsidRPr="000925CD">
        <w:rPr>
          <w:b/>
          <w:i w:val="0"/>
        </w:rPr>
        <w:t>por la respectiva bolsa</w:t>
      </w:r>
      <w:r>
        <w:rPr>
          <w:b/>
          <w:i w:val="0"/>
        </w:rPr>
        <w:t>. El 20</w:t>
      </w:r>
      <w:r w:rsidR="00E85B53" w:rsidRPr="000925CD">
        <w:rPr>
          <w:b/>
          <w:i w:val="0"/>
        </w:rPr>
        <w:t xml:space="preserve">% </w:t>
      </w:r>
      <w:r w:rsidR="006038C3" w:rsidRPr="000925CD">
        <w:rPr>
          <w:b/>
          <w:i w:val="0"/>
        </w:rPr>
        <w:t xml:space="preserve">para las </w:t>
      </w:r>
      <w:r w:rsidR="00E54559">
        <w:rPr>
          <w:b/>
          <w:i w:val="0"/>
        </w:rPr>
        <w:t xml:space="preserve">acciones inscritas en </w:t>
      </w:r>
      <w:r w:rsidR="00E54559" w:rsidRPr="000925CD">
        <w:rPr>
          <w:b/>
          <w:i w:val="0"/>
        </w:rPr>
        <w:t>una bolsa de valores en Colombia</w:t>
      </w:r>
      <w:r w:rsidR="004B0E11" w:rsidRPr="004B0E11">
        <w:rPr>
          <w:b/>
          <w:i w:val="0"/>
        </w:rPr>
        <w:t xml:space="preserve"> que sean elegibles para ser objeto de operaciones reporto o repo</w:t>
      </w:r>
      <w:r w:rsidR="004B0E11">
        <w:rPr>
          <w:b/>
          <w:i w:val="0"/>
        </w:rPr>
        <w:t xml:space="preserve"> y no admisibles como garantía</w:t>
      </w:r>
      <w:r w:rsidR="002D2EE4" w:rsidRPr="000925CD">
        <w:rPr>
          <w:b/>
          <w:i w:val="0"/>
        </w:rPr>
        <w:t>.</w:t>
      </w:r>
    </w:p>
    <w:p w:rsidR="00357D94" w:rsidRPr="000925CD" w:rsidRDefault="00357D94" w:rsidP="00C26DEB">
      <w:pPr>
        <w:pBdr>
          <w:left w:val="single" w:sz="4" w:space="4" w:color="auto"/>
        </w:pBdr>
        <w:rPr>
          <w:b/>
          <w:i w:val="0"/>
          <w:sz w:val="18"/>
        </w:rPr>
      </w:pPr>
    </w:p>
    <w:p w:rsidR="00141653" w:rsidRPr="000925CD" w:rsidRDefault="001B7CEE" w:rsidP="00C26DEB">
      <w:pPr>
        <w:pStyle w:val="Normal9pt"/>
        <w:numPr>
          <w:ilvl w:val="3"/>
          <w:numId w:val="8"/>
        </w:numPr>
        <w:pBdr>
          <w:left w:val="single" w:sz="4" w:space="4" w:color="auto"/>
        </w:pBdr>
        <w:rPr>
          <w:i w:val="0"/>
        </w:rPr>
      </w:pPr>
      <w:r w:rsidRPr="000925CD">
        <w:rPr>
          <w:i w:val="0"/>
        </w:rPr>
        <w:t xml:space="preserve">El </w:t>
      </w:r>
      <w:r w:rsidR="00136E1B" w:rsidRPr="00136E1B">
        <w:rPr>
          <w:b/>
          <w:i w:val="0"/>
        </w:rPr>
        <w:t>5.5</w:t>
      </w:r>
      <w:r w:rsidR="004E37A4" w:rsidRPr="00136E1B">
        <w:rPr>
          <w:b/>
          <w:i w:val="0"/>
        </w:rPr>
        <w:t>%</w:t>
      </w:r>
      <w:r w:rsidR="004E37A4" w:rsidRPr="000925CD">
        <w:rPr>
          <w:i w:val="0"/>
        </w:rPr>
        <w:t xml:space="preserve"> </w:t>
      </w:r>
      <w:r w:rsidR="005B2A15" w:rsidRPr="000925CD">
        <w:rPr>
          <w:b/>
          <w:i w:val="0"/>
        </w:rPr>
        <w:t xml:space="preserve">adicional </w:t>
      </w:r>
      <w:r w:rsidRPr="000925CD">
        <w:rPr>
          <w:i w:val="0"/>
        </w:rPr>
        <w:t>sobre el precio justo de intercambio</w:t>
      </w:r>
      <w:r w:rsidR="00141653" w:rsidRPr="000925CD">
        <w:rPr>
          <w:i w:val="0"/>
        </w:rPr>
        <w:t xml:space="preserve"> para </w:t>
      </w:r>
      <w:r w:rsidR="00F42753" w:rsidRPr="000925CD">
        <w:rPr>
          <w:i w:val="0"/>
        </w:rPr>
        <w:t xml:space="preserve">todos </w:t>
      </w:r>
      <w:r w:rsidRPr="000925CD">
        <w:rPr>
          <w:i w:val="0"/>
        </w:rPr>
        <w:t>los valores</w:t>
      </w:r>
      <w:r w:rsidR="000925CD" w:rsidRPr="000925CD">
        <w:rPr>
          <w:i w:val="0"/>
        </w:rPr>
        <w:t xml:space="preserve"> denominados en moneda extranjera</w:t>
      </w:r>
      <w:r w:rsidR="00141653" w:rsidRPr="000925CD">
        <w:rPr>
          <w:i w:val="0"/>
        </w:rPr>
        <w:t xml:space="preserve"> </w:t>
      </w:r>
      <w:r w:rsidR="0042694D" w:rsidRPr="0042694D">
        <w:rPr>
          <w:b/>
          <w:i w:val="0"/>
        </w:rPr>
        <w:t>que no aparezcan en el informe del Banco de la Republica</w:t>
      </w:r>
      <w:r w:rsidR="0042694D">
        <w:rPr>
          <w:i w:val="0"/>
        </w:rPr>
        <w:t xml:space="preserve"> </w:t>
      </w:r>
      <w:r w:rsidR="005B2A15" w:rsidRPr="000925CD">
        <w:rPr>
          <w:b/>
          <w:i w:val="0"/>
        </w:rPr>
        <w:t xml:space="preserve">y </w:t>
      </w:r>
      <w:r w:rsidR="000925CD" w:rsidRPr="000925CD">
        <w:rPr>
          <w:b/>
          <w:i w:val="0"/>
        </w:rPr>
        <w:t xml:space="preserve">sobre </w:t>
      </w:r>
      <w:r w:rsidR="005B2A15" w:rsidRPr="000925CD">
        <w:rPr>
          <w:b/>
          <w:i w:val="0"/>
        </w:rPr>
        <w:t>el disponible</w:t>
      </w:r>
      <w:r w:rsidR="000925CD" w:rsidRPr="000925CD">
        <w:rPr>
          <w:b/>
          <w:i w:val="0"/>
        </w:rPr>
        <w:t xml:space="preserve"> denominado en moneda extranjera</w:t>
      </w:r>
      <w:r w:rsidR="000853FD" w:rsidRPr="000925CD">
        <w:rPr>
          <w:i w:val="0"/>
        </w:rPr>
        <w:t>.</w:t>
      </w:r>
    </w:p>
    <w:p w:rsidR="00D93B0F" w:rsidRPr="000925CD" w:rsidRDefault="00D93B0F" w:rsidP="00C26DE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978F1" w:rsidRPr="000925CD" w:rsidRDefault="00D95B12" w:rsidP="00895CD9">
      <w:pPr>
        <w:pStyle w:val="Normal9pt"/>
        <w:numPr>
          <w:ilvl w:val="2"/>
          <w:numId w:val="8"/>
        </w:numPr>
        <w:pBdr>
          <w:left w:val="single" w:sz="4" w:space="4" w:color="auto"/>
        </w:pBdr>
        <w:autoSpaceDE w:val="0"/>
        <w:autoSpaceDN w:val="0"/>
        <w:adjustRightInd w:val="0"/>
        <w:rPr>
          <w:b/>
          <w:i w:val="0"/>
        </w:rPr>
      </w:pPr>
      <w:r w:rsidRPr="000925CD">
        <w:rPr>
          <w:b/>
          <w:i w:val="0"/>
        </w:rPr>
        <w:t>Activos Líquidos de Alta Calidad</w:t>
      </w:r>
      <w:r w:rsidR="00B06B18" w:rsidRPr="000925CD">
        <w:rPr>
          <w:b/>
          <w:i w:val="0"/>
        </w:rPr>
        <w:t xml:space="preserve"> (ALAC)</w:t>
      </w:r>
      <w:r w:rsidRPr="000925CD">
        <w:rPr>
          <w:b/>
          <w:i w:val="0"/>
        </w:rPr>
        <w:t>:</w:t>
      </w:r>
      <w:r w:rsidR="00C77157" w:rsidRPr="000925CD">
        <w:rPr>
          <w:b/>
          <w:i w:val="0"/>
        </w:rPr>
        <w:t xml:space="preserve"> </w:t>
      </w:r>
      <w:r w:rsidR="00D94701" w:rsidRPr="000925CD">
        <w:rPr>
          <w:b/>
          <w:i w:val="0"/>
        </w:rPr>
        <w:t xml:space="preserve">Se consideran activos líquidos de alta calidad </w:t>
      </w:r>
      <w:r w:rsidR="00895CD9" w:rsidRPr="000925CD">
        <w:rPr>
          <w:b/>
          <w:i w:val="0"/>
        </w:rPr>
        <w:t>el</w:t>
      </w:r>
      <w:r w:rsidR="00D94701" w:rsidRPr="000925CD">
        <w:rPr>
          <w:b/>
          <w:i w:val="0"/>
        </w:rPr>
        <w:t xml:space="preserve"> disponible </w:t>
      </w:r>
      <w:r w:rsidR="00A917CF">
        <w:rPr>
          <w:b/>
          <w:i w:val="0"/>
        </w:rPr>
        <w:t xml:space="preserve">y </w:t>
      </w:r>
      <w:r w:rsidR="00A917CF" w:rsidRPr="000925CD">
        <w:rPr>
          <w:b/>
          <w:i w:val="0"/>
        </w:rPr>
        <w:t>las acciones que sean elegibles para ser objeto de operaciones reporto o repo</w:t>
      </w:r>
      <w:r w:rsidR="00A917CF">
        <w:rPr>
          <w:b/>
          <w:i w:val="0"/>
        </w:rPr>
        <w:t>,</w:t>
      </w:r>
      <w:r w:rsidR="00A917CF" w:rsidRPr="000925CD">
        <w:rPr>
          <w:b/>
          <w:i w:val="0"/>
        </w:rPr>
        <w:t xml:space="preserve"> </w:t>
      </w:r>
      <w:r w:rsidR="00D94701" w:rsidRPr="000925CD">
        <w:rPr>
          <w:b/>
          <w:i w:val="0"/>
        </w:rPr>
        <w:t xml:space="preserve"> </w:t>
      </w:r>
      <w:r w:rsidR="00A917CF">
        <w:rPr>
          <w:b/>
          <w:i w:val="0"/>
        </w:rPr>
        <w:lastRenderedPageBreak/>
        <w:t>a</w:t>
      </w:r>
      <w:r w:rsidR="00E54559">
        <w:rPr>
          <w:b/>
          <w:i w:val="0"/>
        </w:rPr>
        <w:t>dicionalmente</w:t>
      </w:r>
      <w:r w:rsidR="00A917CF">
        <w:rPr>
          <w:b/>
          <w:i w:val="0"/>
        </w:rPr>
        <w:t xml:space="preserve"> p</w:t>
      </w:r>
      <w:r w:rsidR="00AE328F" w:rsidRPr="000925CD">
        <w:rPr>
          <w:b/>
          <w:i w:val="0"/>
        </w:rPr>
        <w:t xml:space="preserve">ara aquellas entidades que se encuentren en el grupo de Agentes Colocadores de OMAS (ACO) </w:t>
      </w:r>
      <w:r w:rsidR="00D94701" w:rsidRPr="000925CD">
        <w:rPr>
          <w:b/>
          <w:i w:val="0"/>
        </w:rPr>
        <w:t>aquellos activos líquidos que reciba el Banco de la</w:t>
      </w:r>
      <w:r w:rsidR="00D94701" w:rsidRPr="00E96C5B">
        <w:rPr>
          <w:b/>
          <w:i w:val="0"/>
        </w:rPr>
        <w:t xml:space="preserve"> </w:t>
      </w:r>
      <w:r w:rsidR="00D94701" w:rsidRPr="000925CD">
        <w:rPr>
          <w:b/>
          <w:i w:val="0"/>
        </w:rPr>
        <w:t xml:space="preserve">República para sus operaciones de expansión y contracción monetaria </w:t>
      </w:r>
      <w:r w:rsidR="00AE328F" w:rsidRPr="000925CD">
        <w:rPr>
          <w:b/>
          <w:i w:val="0"/>
        </w:rPr>
        <w:t xml:space="preserve">descritos en el numeral 3.1.1 de la Circular Reglamentaria Externa DODM-142 del Banco de la República </w:t>
      </w:r>
      <w:r w:rsidR="00D94701" w:rsidRPr="000925CD">
        <w:rPr>
          <w:b/>
          <w:i w:val="0"/>
        </w:rPr>
        <w:t xml:space="preserve">o </w:t>
      </w:r>
      <w:r w:rsidR="00B6201F" w:rsidRPr="000925CD">
        <w:rPr>
          <w:b/>
          <w:i w:val="0"/>
        </w:rPr>
        <w:t xml:space="preserve">en caso contrario </w:t>
      </w:r>
      <w:r w:rsidR="00D53986" w:rsidRPr="000925CD">
        <w:rPr>
          <w:b/>
          <w:i w:val="0"/>
        </w:rPr>
        <w:t xml:space="preserve">(si no es ACO) </w:t>
      </w:r>
      <w:r w:rsidR="00D94701" w:rsidRPr="000925CD">
        <w:rPr>
          <w:b/>
          <w:i w:val="0"/>
        </w:rPr>
        <w:t>únicamente aquellos títulos que sean de cotización obligatoria</w:t>
      </w:r>
      <w:r w:rsidR="003978F1" w:rsidRPr="000925CD">
        <w:rPr>
          <w:b/>
          <w:i w:val="0"/>
        </w:rPr>
        <w:t xml:space="preserve"> en el programa de creadores de mercado</w:t>
      </w:r>
      <w:r w:rsidR="00A917CF">
        <w:rPr>
          <w:b/>
          <w:i w:val="0"/>
        </w:rPr>
        <w:t>.</w:t>
      </w:r>
    </w:p>
    <w:p w:rsidR="00AE328F" w:rsidRPr="000925CD" w:rsidRDefault="00AE328F" w:rsidP="00AE328F">
      <w:pPr>
        <w:pStyle w:val="Normal9pt"/>
        <w:numPr>
          <w:ilvl w:val="0"/>
          <w:numId w:val="0"/>
        </w:numPr>
        <w:pBdr>
          <w:left w:val="single" w:sz="4" w:space="4" w:color="auto"/>
        </w:pBdr>
        <w:autoSpaceDE w:val="0"/>
        <w:autoSpaceDN w:val="0"/>
        <w:adjustRightInd w:val="0"/>
        <w:rPr>
          <w:b/>
          <w:i w:val="0"/>
        </w:rPr>
      </w:pPr>
    </w:p>
    <w:p w:rsidR="00625C6B" w:rsidRPr="000925CD" w:rsidRDefault="00625C6B" w:rsidP="003349FF">
      <w:pPr>
        <w:pStyle w:val="Normal9pt"/>
        <w:numPr>
          <w:ilvl w:val="2"/>
          <w:numId w:val="8"/>
        </w:numPr>
        <w:pBdr>
          <w:left w:val="single" w:sz="4" w:space="4" w:color="auto"/>
        </w:pBdr>
        <w:autoSpaceDE w:val="0"/>
        <w:autoSpaceDN w:val="0"/>
        <w:adjustRightInd w:val="0"/>
        <w:rPr>
          <w:b/>
          <w:i w:val="0"/>
        </w:rPr>
      </w:pPr>
      <w:r w:rsidRPr="000925CD">
        <w:rPr>
          <w:b/>
          <w:i w:val="0"/>
        </w:rPr>
        <w:t xml:space="preserve">Activos Líquidos Ajustados (ALA): </w:t>
      </w:r>
      <w:r w:rsidR="00E54559">
        <w:rPr>
          <w:b/>
          <w:i w:val="0"/>
        </w:rPr>
        <w:t>Corresponde a</w:t>
      </w:r>
      <w:r w:rsidR="00895CD9" w:rsidRPr="000925CD">
        <w:rPr>
          <w:b/>
          <w:i w:val="0"/>
        </w:rPr>
        <w:t>l conjunto de activos líquidos a tener en cuenta en el cálculo del IRL</w:t>
      </w:r>
      <w:r w:rsidR="00A917CF">
        <w:rPr>
          <w:b/>
          <w:i w:val="0"/>
        </w:rPr>
        <w:t xml:space="preserve"> y c</w:t>
      </w:r>
      <w:r w:rsidRPr="000925CD">
        <w:rPr>
          <w:b/>
          <w:i w:val="0"/>
        </w:rPr>
        <w:t xml:space="preserve">omprenden </w:t>
      </w:r>
      <w:r w:rsidR="00D53986" w:rsidRPr="000925CD">
        <w:rPr>
          <w:b/>
          <w:i w:val="0"/>
        </w:rPr>
        <w:t>e</w:t>
      </w:r>
      <w:r w:rsidRPr="000925CD">
        <w:rPr>
          <w:b/>
          <w:i w:val="0"/>
        </w:rPr>
        <w:t>l total de Activos Líquidos de Alta Calidad y los otros Activos Líquidos (OAL)</w:t>
      </w:r>
      <w:r w:rsidR="00D53986" w:rsidRPr="000925CD">
        <w:rPr>
          <w:b/>
          <w:i w:val="0"/>
        </w:rPr>
        <w:t xml:space="preserve"> estos últimos no p</w:t>
      </w:r>
      <w:r w:rsidR="00A917CF">
        <w:rPr>
          <w:b/>
          <w:i w:val="0"/>
        </w:rPr>
        <w:t xml:space="preserve">odrán </w:t>
      </w:r>
      <w:r w:rsidR="00D53986" w:rsidRPr="000925CD">
        <w:rPr>
          <w:b/>
          <w:i w:val="0"/>
        </w:rPr>
        <w:t xml:space="preserve">exceder </w:t>
      </w:r>
      <w:r w:rsidRPr="000925CD">
        <w:rPr>
          <w:b/>
          <w:i w:val="0"/>
        </w:rPr>
        <w:t>el 30% del total de Activos Líquidos Ajustados. Para este propósito, los activos líquidos que no ostenten la característica de alta calidad</w:t>
      </w:r>
      <w:r w:rsidR="003978F1" w:rsidRPr="000925CD">
        <w:rPr>
          <w:b/>
          <w:i w:val="0"/>
        </w:rPr>
        <w:t xml:space="preserve"> (OAL)</w:t>
      </w:r>
      <w:r w:rsidRPr="000925CD">
        <w:rPr>
          <w:b/>
          <w:i w:val="0"/>
        </w:rPr>
        <w:t>, se contabilizarán por su valor ajustado por ‘liquidez de mercado’ y riesgo cambiario hasta por un valor máximo de 3/7 del valor ajustado por ‘liquidez de mercado’ y riesgo cambiario de los activos líquidos de alta calidad.</w:t>
      </w:r>
    </w:p>
    <w:p w:rsidR="00B06B18" w:rsidRPr="00E96C5B" w:rsidRDefault="00B06B18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autoSpaceDE w:val="0"/>
        <w:autoSpaceDN w:val="0"/>
        <w:adjustRightInd w:val="0"/>
        <w:rPr>
          <w:b/>
          <w:i w:val="0"/>
        </w:rPr>
      </w:pPr>
    </w:p>
    <w:p w:rsidR="00B06B18" w:rsidRPr="00E96C5B" w:rsidRDefault="00B06B18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jc w:val="center"/>
        <w:rPr>
          <w:i w:val="0"/>
        </w:rPr>
      </w:pPr>
      <w:r w:rsidRPr="00E96C5B">
        <w:rPr>
          <w:i w:val="0"/>
        </w:rPr>
        <w:t xml:space="preserve">          </w:t>
      </w:r>
      <w:r w:rsidRPr="00E96C5B">
        <w:rPr>
          <w:i w:val="0"/>
          <w:position w:val="-10"/>
        </w:rPr>
        <w:object w:dxaOrig="387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6.5pt" o:ole="">
            <v:imagedata r:id="rId9" o:title=""/>
          </v:shape>
          <o:OLEObject Type="Embed" ProgID="Equation.3" ShapeID="_x0000_i1025" DrawAspect="Content" ObjectID="_1459763379" r:id="rId10"/>
        </w:object>
      </w:r>
    </w:p>
    <w:p w:rsidR="00B06B18" w:rsidRPr="00E96C5B" w:rsidRDefault="00B06B18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jc w:val="center"/>
        <w:rPr>
          <w:b/>
          <w:i w:val="0"/>
        </w:rPr>
      </w:pPr>
    </w:p>
    <w:p w:rsidR="00986530" w:rsidRPr="00E96C5B" w:rsidRDefault="00986530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2D67CD" w:rsidRPr="00E96C5B" w:rsidRDefault="003313F1" w:rsidP="003349FF">
      <w:pPr>
        <w:pStyle w:val="Normal9pt"/>
        <w:numPr>
          <w:ilvl w:val="1"/>
          <w:numId w:val="7"/>
        </w:numPr>
        <w:pBdr>
          <w:left w:val="single" w:sz="4" w:space="4" w:color="auto"/>
        </w:pBdr>
        <w:rPr>
          <w:i w:val="0"/>
        </w:rPr>
      </w:pPr>
      <w:r w:rsidRPr="00E96C5B">
        <w:rPr>
          <w:b/>
          <w:i w:val="0"/>
        </w:rPr>
        <w:t xml:space="preserve">Medición </w:t>
      </w:r>
      <w:r w:rsidR="009E3F22" w:rsidRPr="00E96C5B">
        <w:rPr>
          <w:b/>
          <w:i w:val="0"/>
        </w:rPr>
        <w:t>del</w:t>
      </w:r>
      <w:r w:rsidR="00BD6DCD" w:rsidRPr="00E96C5B">
        <w:rPr>
          <w:b/>
          <w:i w:val="0"/>
        </w:rPr>
        <w:t xml:space="preserve"> </w:t>
      </w:r>
      <w:r w:rsidR="0035418C" w:rsidRPr="00E96C5B">
        <w:rPr>
          <w:b/>
          <w:i w:val="0"/>
        </w:rPr>
        <w:t xml:space="preserve">Requerimiento de Liquidez </w:t>
      </w:r>
      <w:r w:rsidR="00B06B18" w:rsidRPr="00E96C5B">
        <w:rPr>
          <w:b/>
          <w:i w:val="0"/>
        </w:rPr>
        <w:t>Neto por</w:t>
      </w:r>
      <w:r w:rsidR="0035418C" w:rsidRPr="00E96C5B">
        <w:rPr>
          <w:b/>
          <w:i w:val="0"/>
        </w:rPr>
        <w:t xml:space="preserve"> Cuenta Propia</w:t>
      </w:r>
      <w:r w:rsidR="00BD6DCD" w:rsidRPr="00E96C5B">
        <w:rPr>
          <w:b/>
          <w:i w:val="0"/>
        </w:rPr>
        <w:t>. (</w:t>
      </w:r>
      <w:r w:rsidR="0035418C" w:rsidRPr="00E96C5B">
        <w:rPr>
          <w:b/>
          <w:i w:val="0"/>
        </w:rPr>
        <w:t>RL</w:t>
      </w:r>
      <w:r w:rsidR="00B06B18" w:rsidRPr="00E96C5B">
        <w:rPr>
          <w:b/>
          <w:i w:val="0"/>
        </w:rPr>
        <w:t>N</w:t>
      </w:r>
      <w:r w:rsidR="003978F1" w:rsidRPr="00E96C5B">
        <w:rPr>
          <w:b/>
          <w:i w:val="0"/>
          <w:vertAlign w:val="subscript"/>
        </w:rPr>
        <w:t>CP</w:t>
      </w:r>
      <w:r w:rsidRPr="00E96C5B">
        <w:rPr>
          <w:b/>
          <w:i w:val="0"/>
        </w:rPr>
        <w:t>)</w:t>
      </w:r>
    </w:p>
    <w:p w:rsidR="003349FF" w:rsidRPr="00E96C5B" w:rsidRDefault="003349FF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5B196F" w:rsidRPr="000925CD" w:rsidRDefault="0072469D" w:rsidP="003349FF">
      <w:pPr>
        <w:pStyle w:val="Normal9pt"/>
        <w:keepNext/>
        <w:keepLines/>
        <w:numPr>
          <w:ilvl w:val="2"/>
          <w:numId w:val="7"/>
        </w:numPr>
        <w:pBdr>
          <w:left w:val="single" w:sz="4" w:space="4" w:color="auto"/>
        </w:pBdr>
        <w:contextualSpacing/>
        <w:rPr>
          <w:b/>
          <w:i w:val="0"/>
        </w:rPr>
      </w:pPr>
      <w:r w:rsidRPr="000925CD">
        <w:rPr>
          <w:b/>
          <w:i w:val="0"/>
        </w:rPr>
        <w:t>Definición</w:t>
      </w:r>
      <w:r w:rsidRPr="000925CD">
        <w:rPr>
          <w:i w:val="0"/>
        </w:rPr>
        <w:t xml:space="preserve">: </w:t>
      </w:r>
      <w:r w:rsidR="0035418C" w:rsidRPr="000925CD">
        <w:rPr>
          <w:i w:val="0"/>
        </w:rPr>
        <w:t>El requerimiento</w:t>
      </w:r>
      <w:r w:rsidR="003313F1" w:rsidRPr="000925CD">
        <w:rPr>
          <w:i w:val="0"/>
        </w:rPr>
        <w:t xml:space="preserve"> </w:t>
      </w:r>
      <w:r w:rsidR="0035418C" w:rsidRPr="000925CD">
        <w:rPr>
          <w:i w:val="0"/>
        </w:rPr>
        <w:t xml:space="preserve">de liquidez </w:t>
      </w:r>
      <w:r w:rsidR="003313F1" w:rsidRPr="000925CD">
        <w:rPr>
          <w:i w:val="0"/>
        </w:rPr>
        <w:t>de la sociedad comisionista de bolsa</w:t>
      </w:r>
      <w:r w:rsidR="00FB409D" w:rsidRPr="000925CD">
        <w:rPr>
          <w:i w:val="0"/>
        </w:rPr>
        <w:t xml:space="preserve"> de valores</w:t>
      </w:r>
      <w:r w:rsidR="003313F1" w:rsidRPr="000925CD">
        <w:rPr>
          <w:i w:val="0"/>
        </w:rPr>
        <w:t xml:space="preserve"> en </w:t>
      </w:r>
      <w:r w:rsidR="0035418C" w:rsidRPr="000925CD">
        <w:rPr>
          <w:i w:val="0"/>
        </w:rPr>
        <w:t>cuenta</w:t>
      </w:r>
      <w:r w:rsidR="003313F1" w:rsidRPr="000925CD">
        <w:rPr>
          <w:i w:val="0"/>
        </w:rPr>
        <w:t xml:space="preserve"> propia </w:t>
      </w:r>
      <w:r w:rsidR="0035418C" w:rsidRPr="000925CD">
        <w:rPr>
          <w:i w:val="0"/>
        </w:rPr>
        <w:t>corresponde</w:t>
      </w:r>
      <w:r w:rsidR="003313F1" w:rsidRPr="000925CD">
        <w:rPr>
          <w:i w:val="0"/>
        </w:rPr>
        <w:t xml:space="preserve"> </w:t>
      </w:r>
      <w:r w:rsidR="00BD6DCD" w:rsidRPr="000925CD">
        <w:rPr>
          <w:i w:val="0"/>
        </w:rPr>
        <w:t>a la</w:t>
      </w:r>
      <w:r w:rsidR="00C77157" w:rsidRPr="000925CD">
        <w:rPr>
          <w:i w:val="0"/>
        </w:rPr>
        <w:t xml:space="preserve"> </w:t>
      </w:r>
      <w:r w:rsidR="00C77157" w:rsidRPr="000925CD">
        <w:rPr>
          <w:b/>
          <w:i w:val="0"/>
        </w:rPr>
        <w:t>exposición que surge de la</w:t>
      </w:r>
      <w:r w:rsidR="006F3EBE" w:rsidRPr="000925CD">
        <w:rPr>
          <w:b/>
          <w:i w:val="0"/>
        </w:rPr>
        <w:t xml:space="preserve"> diferencia entre los flujos negativos y los </w:t>
      </w:r>
      <w:r w:rsidR="003B32DF" w:rsidRPr="000925CD">
        <w:rPr>
          <w:b/>
          <w:i w:val="0"/>
        </w:rPr>
        <w:t xml:space="preserve"> p</w:t>
      </w:r>
      <w:r w:rsidR="006F3EBE" w:rsidRPr="000925CD">
        <w:rPr>
          <w:b/>
          <w:i w:val="0"/>
        </w:rPr>
        <w:t>ositivos derivados de las operaciones</w:t>
      </w:r>
      <w:r w:rsidR="003C5372" w:rsidRPr="000925CD">
        <w:rPr>
          <w:b/>
          <w:i w:val="0"/>
        </w:rPr>
        <w:t>:</w:t>
      </w:r>
      <w:r w:rsidR="006F3EBE" w:rsidRPr="000925CD">
        <w:rPr>
          <w:b/>
          <w:i w:val="0"/>
        </w:rPr>
        <w:t xml:space="preserve"> del mercado monetario</w:t>
      </w:r>
      <w:r w:rsidR="00180183" w:rsidRPr="000925CD">
        <w:rPr>
          <w:b/>
          <w:i w:val="0"/>
        </w:rPr>
        <w:t>,</w:t>
      </w:r>
      <w:r w:rsidR="006F3EBE" w:rsidRPr="000925CD">
        <w:rPr>
          <w:b/>
          <w:i w:val="0"/>
        </w:rPr>
        <w:t xml:space="preserve"> de contado</w:t>
      </w:r>
      <w:r w:rsidR="00E54559">
        <w:rPr>
          <w:b/>
          <w:i w:val="0"/>
        </w:rPr>
        <w:t xml:space="preserve">, a plazo, </w:t>
      </w:r>
      <w:r w:rsidR="003B32DF" w:rsidRPr="000925CD">
        <w:rPr>
          <w:b/>
          <w:i w:val="0"/>
        </w:rPr>
        <w:t>y en instrumentos de</w:t>
      </w:r>
      <w:r w:rsidR="00180183" w:rsidRPr="000925CD">
        <w:rPr>
          <w:b/>
          <w:i w:val="0"/>
        </w:rPr>
        <w:t>rivados</w:t>
      </w:r>
      <w:r w:rsidR="00625C6B" w:rsidRPr="000925CD">
        <w:rPr>
          <w:b/>
          <w:i w:val="0"/>
        </w:rPr>
        <w:t xml:space="preserve"> en cuenta propia</w:t>
      </w:r>
      <w:r w:rsidR="0014170D" w:rsidRPr="000925CD">
        <w:rPr>
          <w:b/>
          <w:i w:val="0"/>
        </w:rPr>
        <w:t>,</w:t>
      </w:r>
      <w:r w:rsidR="00625C6B" w:rsidRPr="000925CD">
        <w:rPr>
          <w:b/>
          <w:i w:val="0"/>
        </w:rPr>
        <w:t xml:space="preserve"> </w:t>
      </w:r>
      <w:r w:rsidR="003C5372" w:rsidRPr="000925CD">
        <w:rPr>
          <w:b/>
          <w:i w:val="0"/>
        </w:rPr>
        <w:t xml:space="preserve">las cuales </w:t>
      </w:r>
      <w:r w:rsidR="003B32DF" w:rsidRPr="000925CD">
        <w:rPr>
          <w:b/>
          <w:i w:val="0"/>
        </w:rPr>
        <w:t>no se encuentren compensad</w:t>
      </w:r>
      <w:r w:rsidR="003C5372" w:rsidRPr="000925CD">
        <w:rPr>
          <w:b/>
          <w:i w:val="0"/>
        </w:rPr>
        <w:t>as y liquidada</w:t>
      </w:r>
      <w:r w:rsidR="003B32DF" w:rsidRPr="000925CD">
        <w:rPr>
          <w:b/>
          <w:i w:val="0"/>
        </w:rPr>
        <w:t xml:space="preserve">s a través de cámaras de riesgo central de contraparte, así como </w:t>
      </w:r>
      <w:r w:rsidR="00625C6B" w:rsidRPr="000925CD">
        <w:rPr>
          <w:b/>
          <w:i w:val="0"/>
        </w:rPr>
        <w:t>de las obligaciones financieras y de los flujos de pago de cupones y principales de inversiones en títulos de deuda clasificados al vencimiento</w:t>
      </w:r>
      <w:r w:rsidR="00572373" w:rsidRPr="000925CD">
        <w:rPr>
          <w:b/>
          <w:i w:val="0"/>
        </w:rPr>
        <w:t xml:space="preserve"> para las bandas de tiempo correspondientes</w:t>
      </w:r>
      <w:r w:rsidR="006F3EBE" w:rsidRPr="000925CD">
        <w:rPr>
          <w:b/>
          <w:i w:val="0"/>
        </w:rPr>
        <w:t>. En el caso particular de los flujos positivos representados en títulos, éstos deberán estar ajustados por el</w:t>
      </w:r>
      <w:r w:rsidR="003B32DF" w:rsidRPr="000925CD">
        <w:rPr>
          <w:b/>
          <w:i w:val="0"/>
        </w:rPr>
        <w:t xml:space="preserve"> ‘</w:t>
      </w:r>
      <w:proofErr w:type="spellStart"/>
      <w:r w:rsidR="003B32DF" w:rsidRPr="000925CD">
        <w:rPr>
          <w:b/>
          <w:i w:val="0"/>
        </w:rPr>
        <w:t>haircut</w:t>
      </w:r>
      <w:proofErr w:type="spellEnd"/>
      <w:r w:rsidR="003B32DF" w:rsidRPr="000925CD">
        <w:rPr>
          <w:b/>
          <w:i w:val="0"/>
        </w:rPr>
        <w:t xml:space="preserve">’ </w:t>
      </w:r>
      <w:r w:rsidR="006F3EBE" w:rsidRPr="000925CD">
        <w:rPr>
          <w:b/>
          <w:i w:val="0"/>
        </w:rPr>
        <w:t>correspondiente según lo definido para los activos líquidos.</w:t>
      </w:r>
      <w:r w:rsidR="001B5808">
        <w:rPr>
          <w:b/>
          <w:i w:val="0"/>
        </w:rPr>
        <w:t xml:space="preserve"> Lo anterior sin incluir las operaciones realizadas en el Sistema Electrónico de Negociación (SEN).</w:t>
      </w:r>
    </w:p>
    <w:p w:rsidR="00625C6B" w:rsidRPr="00895CD9" w:rsidRDefault="00625C6B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5B196F" w:rsidRPr="00E96C5B" w:rsidRDefault="005B196F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ind w:firstLine="708"/>
        <w:rPr>
          <w:b/>
          <w:i w:val="0"/>
        </w:rPr>
      </w:pPr>
      <w:r w:rsidRPr="00E96C5B">
        <w:rPr>
          <w:b/>
          <w:i w:val="0"/>
        </w:rPr>
        <w:t xml:space="preserve">En todo caso, el requerimiento de liquidez por cuenta propia no podrá ser inferior </w:t>
      </w:r>
      <w:r w:rsidR="00E96FC6" w:rsidRPr="00E96C5B">
        <w:rPr>
          <w:b/>
          <w:i w:val="0"/>
        </w:rPr>
        <w:t>a 0</w:t>
      </w:r>
      <w:r w:rsidR="007C40CD" w:rsidRPr="00E96C5B">
        <w:rPr>
          <w:b/>
          <w:i w:val="0"/>
        </w:rPr>
        <w:t>.</w:t>
      </w:r>
    </w:p>
    <w:p w:rsidR="00C059F7" w:rsidRPr="00E96C5B" w:rsidRDefault="00C059F7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C059F7" w:rsidRPr="00E96C5B" w:rsidRDefault="00895CD9" w:rsidP="00895CD9">
      <w:pPr>
        <w:pStyle w:val="Normal9pt"/>
        <w:numPr>
          <w:ilvl w:val="0"/>
          <w:numId w:val="0"/>
        </w:numPr>
        <w:pBdr>
          <w:left w:val="single" w:sz="4" w:space="4" w:color="auto"/>
        </w:pBdr>
        <w:ind w:firstLine="708"/>
        <w:jc w:val="center"/>
        <w:rPr>
          <w:i w:val="0"/>
          <w:position w:val="-12"/>
        </w:rPr>
      </w:pPr>
      <w:r w:rsidRPr="00E96C5B">
        <w:rPr>
          <w:i w:val="0"/>
          <w:position w:val="-12"/>
        </w:rPr>
        <w:object w:dxaOrig="3220" w:dyaOrig="360">
          <v:shape id="_x0000_i1026" type="#_x0000_t75" style="width:162pt;height:17.25pt" o:ole="">
            <v:imagedata r:id="rId11" o:title=""/>
          </v:shape>
          <o:OLEObject Type="Embed" ProgID="Equation.3" ShapeID="_x0000_i1026" DrawAspect="Content" ObjectID="_1459763380" r:id="rId12"/>
        </w:object>
      </w:r>
    </w:p>
    <w:p w:rsidR="00B06B18" w:rsidRPr="00E96C5B" w:rsidRDefault="00B06B18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3349FF" w:rsidRPr="000925CD" w:rsidRDefault="003349FF" w:rsidP="00C26DEB">
      <w:pPr>
        <w:pStyle w:val="Normal9pt"/>
        <w:numPr>
          <w:ilvl w:val="2"/>
          <w:numId w:val="7"/>
        </w:numPr>
        <w:rPr>
          <w:i w:val="0"/>
        </w:rPr>
      </w:pPr>
      <w:r w:rsidRPr="000925CD">
        <w:rPr>
          <w:i w:val="0"/>
        </w:rPr>
        <w:t>Bandas de tiempo</w:t>
      </w:r>
      <w:r w:rsidRPr="000925CD">
        <w:rPr>
          <w:b/>
          <w:i w:val="0"/>
        </w:rPr>
        <w:t>:</w:t>
      </w:r>
      <w:r w:rsidRPr="000925CD">
        <w:rPr>
          <w:i w:val="0"/>
        </w:rPr>
        <w:t xml:space="preserve"> Las entidades deberán medir y registrar los requerimientos de liquidez por lo menos sobre las siguientes bandas de tiempo:</w:t>
      </w:r>
    </w:p>
    <w:p w:rsidR="003349FF" w:rsidRPr="000925CD" w:rsidRDefault="003349FF" w:rsidP="003349FF">
      <w:pPr>
        <w:pBdr>
          <w:left w:val="single" w:sz="4" w:space="4" w:color="auto"/>
        </w:pBdr>
        <w:rPr>
          <w:b/>
          <w:i w:val="0"/>
          <w:sz w:val="18"/>
        </w:rPr>
      </w:pPr>
    </w:p>
    <w:p w:rsidR="003349FF" w:rsidRPr="000925CD" w:rsidRDefault="003349FF" w:rsidP="003349FF">
      <w:pPr>
        <w:pStyle w:val="Normal9pt"/>
        <w:numPr>
          <w:ilvl w:val="3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i w:val="0"/>
        </w:rPr>
        <w:t>Primera banda</w:t>
      </w:r>
      <w:r w:rsidRPr="000925CD">
        <w:rPr>
          <w:b/>
          <w:i w:val="0"/>
        </w:rPr>
        <w:t>: Se deben registrar las operaciones con cumplimiento al día hábil siguiente a la fecha de corte.</w:t>
      </w:r>
    </w:p>
    <w:p w:rsidR="003349FF" w:rsidRPr="000925CD" w:rsidRDefault="003349FF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349FF" w:rsidRPr="000925CD" w:rsidRDefault="003349FF" w:rsidP="003349FF">
      <w:pPr>
        <w:pStyle w:val="Normal9pt"/>
        <w:numPr>
          <w:ilvl w:val="3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i w:val="0"/>
        </w:rPr>
        <w:t>Segunda banda</w:t>
      </w:r>
      <w:r w:rsidRPr="000925CD">
        <w:rPr>
          <w:b/>
          <w:i w:val="0"/>
        </w:rPr>
        <w:t>: Se deben registrar las operaciones con cumplimiento entre el segundo día hábil a partir de la fecha de corte y hasta el séptimo día (7°) calendario a partir de la fecha de corte.</w:t>
      </w:r>
    </w:p>
    <w:p w:rsidR="003349FF" w:rsidRPr="000925CD" w:rsidRDefault="003349FF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349FF" w:rsidRPr="000925CD" w:rsidRDefault="003349FF" w:rsidP="003349FF">
      <w:pPr>
        <w:pStyle w:val="Normal9pt"/>
        <w:numPr>
          <w:ilvl w:val="3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i w:val="0"/>
        </w:rPr>
        <w:t>Tercera banda</w:t>
      </w:r>
      <w:r w:rsidRPr="000925CD">
        <w:rPr>
          <w:b/>
          <w:i w:val="0"/>
        </w:rPr>
        <w:t>: Se deben registrar las operaciones con cumplimiento desde el octavo día (8º) hasta el trigésimo día (30º) calendario, contados desde la fecha de corte.</w:t>
      </w:r>
    </w:p>
    <w:p w:rsidR="003349FF" w:rsidRPr="000925CD" w:rsidRDefault="003349FF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349FF" w:rsidRPr="000925CD" w:rsidRDefault="003349FF" w:rsidP="003349FF">
      <w:pPr>
        <w:pStyle w:val="Normal9pt"/>
        <w:numPr>
          <w:ilvl w:val="3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i w:val="0"/>
        </w:rPr>
        <w:t>Cuarta banda</w:t>
      </w:r>
      <w:r w:rsidRPr="000925CD">
        <w:rPr>
          <w:b/>
          <w:i w:val="0"/>
        </w:rPr>
        <w:t>: Se deben registrar las operaciones con cumplimiento a partir del trigésimo primer día (31º) calendario, contados desde la fecha de corte.</w:t>
      </w:r>
    </w:p>
    <w:p w:rsidR="00357D94" w:rsidRPr="000925CD" w:rsidRDefault="00357D94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9457B5" w:rsidRPr="000925CD" w:rsidRDefault="009457B5" w:rsidP="003349FF">
      <w:pPr>
        <w:pStyle w:val="Normal9pt"/>
        <w:numPr>
          <w:ilvl w:val="1"/>
          <w:numId w:val="7"/>
        </w:numPr>
        <w:pBdr>
          <w:left w:val="single" w:sz="4" w:space="4" w:color="auto"/>
        </w:pBdr>
        <w:rPr>
          <w:i w:val="0"/>
        </w:rPr>
      </w:pPr>
      <w:r w:rsidRPr="000925CD">
        <w:rPr>
          <w:b/>
          <w:i w:val="0"/>
        </w:rPr>
        <w:t xml:space="preserve">Medición del Requerimiento de Liquidez por </w:t>
      </w:r>
      <w:r w:rsidR="00000958" w:rsidRPr="000925CD">
        <w:rPr>
          <w:b/>
          <w:i w:val="0"/>
        </w:rPr>
        <w:t xml:space="preserve">Neto por </w:t>
      </w:r>
      <w:r w:rsidRPr="000925CD">
        <w:rPr>
          <w:b/>
          <w:i w:val="0"/>
        </w:rPr>
        <w:t>Cuenta de Terceros. (RL</w:t>
      </w:r>
      <w:r w:rsidR="00000958" w:rsidRPr="000925CD">
        <w:rPr>
          <w:b/>
          <w:i w:val="0"/>
        </w:rPr>
        <w:t>N</w:t>
      </w:r>
      <w:r w:rsidR="009D116E" w:rsidRPr="000925CD">
        <w:rPr>
          <w:b/>
          <w:i w:val="0"/>
          <w:vertAlign w:val="subscript"/>
        </w:rPr>
        <w:t>CT</w:t>
      </w:r>
      <w:r w:rsidRPr="000925CD">
        <w:rPr>
          <w:b/>
          <w:i w:val="0"/>
        </w:rPr>
        <w:t>)</w:t>
      </w:r>
    </w:p>
    <w:p w:rsidR="00900DF4" w:rsidRPr="000925CD" w:rsidRDefault="00900DF4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345086" w:rsidRPr="001B5808" w:rsidRDefault="00345086" w:rsidP="003349FF">
      <w:pPr>
        <w:pStyle w:val="Normal9pt"/>
        <w:numPr>
          <w:ilvl w:val="2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b/>
          <w:i w:val="0"/>
        </w:rPr>
        <w:t xml:space="preserve">Definición: El requerimiento de liquidez de la sociedad comisionista de bolsa de valores </w:t>
      </w:r>
      <w:r w:rsidR="005517A8" w:rsidRPr="000925CD">
        <w:rPr>
          <w:b/>
          <w:i w:val="0"/>
        </w:rPr>
        <w:t>por</w:t>
      </w:r>
      <w:r w:rsidR="003B32DF" w:rsidRPr="000925CD">
        <w:rPr>
          <w:b/>
          <w:i w:val="0"/>
        </w:rPr>
        <w:t xml:space="preserve"> </w:t>
      </w:r>
      <w:r w:rsidRPr="000925CD">
        <w:rPr>
          <w:b/>
          <w:i w:val="0"/>
        </w:rPr>
        <w:t xml:space="preserve">cuenta </w:t>
      </w:r>
      <w:r w:rsidR="00D53986" w:rsidRPr="000925CD">
        <w:rPr>
          <w:b/>
          <w:i w:val="0"/>
        </w:rPr>
        <w:t xml:space="preserve">de terceros, </w:t>
      </w:r>
      <w:r w:rsidR="003C5372" w:rsidRPr="000925CD">
        <w:rPr>
          <w:b/>
          <w:i w:val="0"/>
        </w:rPr>
        <w:t>corresponde a la exposición que surge por</w:t>
      </w:r>
      <w:r w:rsidR="003B32DF" w:rsidRPr="000925CD">
        <w:rPr>
          <w:b/>
          <w:i w:val="0"/>
        </w:rPr>
        <w:t xml:space="preserve"> las operaciones </w:t>
      </w:r>
      <w:r w:rsidR="003C5372" w:rsidRPr="000925CD">
        <w:rPr>
          <w:b/>
          <w:i w:val="0"/>
        </w:rPr>
        <w:t xml:space="preserve">cruzadas y convenidas </w:t>
      </w:r>
      <w:r w:rsidR="003B32DF" w:rsidRPr="000925CD">
        <w:rPr>
          <w:b/>
          <w:i w:val="0"/>
        </w:rPr>
        <w:t xml:space="preserve">realizadas </w:t>
      </w:r>
      <w:r w:rsidR="00D53986" w:rsidRPr="000925CD">
        <w:rPr>
          <w:b/>
          <w:i w:val="0"/>
        </w:rPr>
        <w:t>en desar</w:t>
      </w:r>
      <w:r w:rsidR="003B32DF" w:rsidRPr="000925CD">
        <w:rPr>
          <w:b/>
          <w:i w:val="0"/>
        </w:rPr>
        <w:t>rollo del contrato de comisión</w:t>
      </w:r>
      <w:r w:rsidR="003C5372" w:rsidRPr="000925CD">
        <w:rPr>
          <w:b/>
          <w:i w:val="0"/>
        </w:rPr>
        <w:t xml:space="preserve"> que no se encuentra</w:t>
      </w:r>
      <w:r w:rsidR="003B32DF" w:rsidRPr="000925CD">
        <w:rPr>
          <w:b/>
          <w:i w:val="0"/>
        </w:rPr>
        <w:t>n compensadas ni liquidadas a través de cámaras de riesgo central de contrapart</w:t>
      </w:r>
      <w:r w:rsidR="00F83956" w:rsidRPr="000925CD">
        <w:rPr>
          <w:b/>
          <w:i w:val="0"/>
        </w:rPr>
        <w:t>e, sin incluir operaciones sobre valores correspondientes a cuentas de margen.</w:t>
      </w:r>
      <w:r w:rsidR="001B5808" w:rsidRPr="001B5808">
        <w:rPr>
          <w:sz w:val="20"/>
          <w:szCs w:val="20"/>
          <w:lang w:val="es-CO"/>
        </w:rPr>
        <w:t xml:space="preserve"> </w:t>
      </w:r>
      <w:r w:rsidR="001B5808" w:rsidRPr="001B5808">
        <w:rPr>
          <w:b/>
          <w:i w:val="0"/>
          <w:lang w:val="es-CO"/>
        </w:rPr>
        <w:t xml:space="preserve">Lo anterior no resulta aplicable a las operaciones que realicen las sociedades comisionista de bolsa de valores cuando actúen como agente colocador bajo la modalidad de mejor esfuerzo ni aquellas producto de su </w:t>
      </w:r>
      <w:r w:rsidR="001B5808" w:rsidRPr="001B5808">
        <w:rPr>
          <w:b/>
          <w:i w:val="0"/>
          <w:lang w:val="es-CO"/>
        </w:rPr>
        <w:lastRenderedPageBreak/>
        <w:t>participación en la presentación de ofertas dentro de los procesos de oferta pública en el mercado primario, oferta pública de adquisición y oferta pública para democratización</w:t>
      </w:r>
      <w:r w:rsidR="001B5808">
        <w:rPr>
          <w:b/>
          <w:i w:val="0"/>
          <w:lang w:val="es-CO"/>
        </w:rPr>
        <w:t>.</w:t>
      </w:r>
    </w:p>
    <w:p w:rsidR="003C3EC8" w:rsidRPr="000925CD" w:rsidRDefault="003C3EC8" w:rsidP="00F44BBC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C3EC8" w:rsidRPr="000925CD" w:rsidRDefault="003C3EC8" w:rsidP="003349FF">
      <w:pPr>
        <w:pStyle w:val="Normal9pt"/>
        <w:numPr>
          <w:ilvl w:val="2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b/>
          <w:i w:val="0"/>
        </w:rPr>
        <w:t xml:space="preserve">Para las operaciones </w:t>
      </w:r>
      <w:r w:rsidR="0036134C" w:rsidRPr="000925CD">
        <w:rPr>
          <w:b/>
          <w:i w:val="0"/>
        </w:rPr>
        <w:t xml:space="preserve">convenidas, entendidas como aquellas operaciones en las que la Sociedad Comisionistas de Bolsa </w:t>
      </w:r>
      <w:r w:rsidR="00056205" w:rsidRPr="000925CD">
        <w:rPr>
          <w:b/>
          <w:i w:val="0"/>
        </w:rPr>
        <w:t xml:space="preserve">actúa únicamente como comprador o vendedor es decir, participa </w:t>
      </w:r>
      <w:r w:rsidR="0036134C" w:rsidRPr="000925CD">
        <w:rPr>
          <w:b/>
          <w:i w:val="0"/>
        </w:rPr>
        <w:t>en un solo lado de la operación, la exposición</w:t>
      </w:r>
      <w:r w:rsidRPr="000925CD">
        <w:rPr>
          <w:b/>
          <w:i w:val="0"/>
        </w:rPr>
        <w:t xml:space="preserve"> corresponde a la sumatoria del valor absoluto de las obligaciones derivadas de las </w:t>
      </w:r>
      <w:r w:rsidR="003978F1" w:rsidRPr="000925CD">
        <w:rPr>
          <w:b/>
          <w:i w:val="0"/>
        </w:rPr>
        <w:t xml:space="preserve">operaciones </w:t>
      </w:r>
      <w:r w:rsidRPr="000925CD">
        <w:rPr>
          <w:b/>
          <w:i w:val="0"/>
        </w:rPr>
        <w:t>de los clientes</w:t>
      </w:r>
      <w:r w:rsidR="003978F1" w:rsidRPr="000925CD">
        <w:rPr>
          <w:b/>
          <w:i w:val="0"/>
        </w:rPr>
        <w:t xml:space="preserve"> realizadas en desarrollo del contrato de comisión</w:t>
      </w:r>
      <w:r w:rsidRPr="000925CD">
        <w:rPr>
          <w:b/>
          <w:i w:val="0"/>
        </w:rPr>
        <w:t>, incluyendo operaciones de contado,</w:t>
      </w:r>
      <w:r w:rsidR="0036134C" w:rsidRPr="000925CD">
        <w:rPr>
          <w:b/>
          <w:i w:val="0"/>
        </w:rPr>
        <w:t xml:space="preserve"> a plazo, </w:t>
      </w:r>
      <w:r w:rsidRPr="000925CD">
        <w:rPr>
          <w:b/>
          <w:i w:val="0"/>
        </w:rPr>
        <w:t xml:space="preserve">repos, simultáneas y </w:t>
      </w:r>
      <w:proofErr w:type="spellStart"/>
      <w:r w:rsidRPr="000925CD">
        <w:rPr>
          <w:b/>
          <w:i w:val="0"/>
        </w:rPr>
        <w:t>TTVs</w:t>
      </w:r>
      <w:proofErr w:type="spellEnd"/>
      <w:r w:rsidRPr="000925CD">
        <w:rPr>
          <w:b/>
          <w:i w:val="0"/>
        </w:rPr>
        <w:t>, entre otras; dicha sumatoria debe ponderarse por el 3.5%.</w:t>
      </w:r>
    </w:p>
    <w:p w:rsidR="003C3EC8" w:rsidRPr="000925CD" w:rsidRDefault="003C3EC8" w:rsidP="003C3EC8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C3EC8" w:rsidRPr="000925CD" w:rsidRDefault="003C3EC8" w:rsidP="003349FF">
      <w:pPr>
        <w:pStyle w:val="Normal9pt"/>
        <w:numPr>
          <w:ilvl w:val="2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b/>
          <w:i w:val="0"/>
        </w:rPr>
        <w:t>Para las operaciones cruzadas,</w:t>
      </w:r>
      <w:r w:rsidR="0036134C" w:rsidRPr="000925CD">
        <w:rPr>
          <w:b/>
          <w:i w:val="0"/>
        </w:rPr>
        <w:t xml:space="preserve"> entendidas como aquellas en las que la Sociedad Comisionista de Bolsa participa en </w:t>
      </w:r>
      <w:r w:rsidR="00056205" w:rsidRPr="000925CD">
        <w:rPr>
          <w:b/>
          <w:i w:val="0"/>
        </w:rPr>
        <w:t xml:space="preserve">ambos </w:t>
      </w:r>
      <w:r w:rsidR="0036134C" w:rsidRPr="000925CD">
        <w:rPr>
          <w:b/>
          <w:i w:val="0"/>
        </w:rPr>
        <w:t>lados de la operación,</w:t>
      </w:r>
      <w:r w:rsidRPr="000925CD">
        <w:rPr>
          <w:b/>
          <w:i w:val="0"/>
        </w:rPr>
        <w:t xml:space="preserve"> la exposición corresponde al máximo valor entre el valor absoluto de la posición activa y el compromiso, incluyendo operaciones de contado,</w:t>
      </w:r>
      <w:r w:rsidR="0036134C" w:rsidRPr="000925CD">
        <w:rPr>
          <w:b/>
          <w:i w:val="0"/>
        </w:rPr>
        <w:t xml:space="preserve"> a plazo,</w:t>
      </w:r>
      <w:r w:rsidRPr="000925CD">
        <w:rPr>
          <w:b/>
          <w:i w:val="0"/>
        </w:rPr>
        <w:t xml:space="preserve"> repos, simultáneas y TTVs, entre otras; dicha sumatoria debe ponderarse por el 3.5%</w:t>
      </w:r>
    </w:p>
    <w:p w:rsidR="00EE62D0" w:rsidRPr="000925CD" w:rsidRDefault="00EE62D0" w:rsidP="00EE62D0">
      <w:pPr>
        <w:pStyle w:val="Prrafodelista"/>
        <w:rPr>
          <w:b/>
          <w:i w:val="0"/>
          <w:sz w:val="18"/>
        </w:rPr>
      </w:pPr>
    </w:p>
    <w:p w:rsidR="00EE62D0" w:rsidRPr="000925CD" w:rsidRDefault="003978F1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jc w:val="center"/>
        <w:rPr>
          <w:b/>
          <w:i w:val="0"/>
        </w:rPr>
      </w:pPr>
      <w:r w:rsidRPr="000925CD">
        <w:rPr>
          <w:position w:val="-12"/>
        </w:rPr>
        <w:object w:dxaOrig="3600" w:dyaOrig="360">
          <v:shape id="_x0000_i1027" type="#_x0000_t75" style="width:180pt;height:17.25pt" o:ole="">
            <v:imagedata r:id="rId13" o:title=""/>
          </v:shape>
          <o:OLEObject Type="Embed" ProgID="Equation.3" ShapeID="_x0000_i1027" DrawAspect="Content" ObjectID="_1459763381" r:id="rId14"/>
        </w:object>
      </w:r>
      <w:r w:rsidR="00EE62D0" w:rsidRPr="000925CD">
        <w:rPr>
          <w:i w:val="0"/>
          <w:position w:val="-10"/>
        </w:rPr>
        <w:object w:dxaOrig="180" w:dyaOrig="340">
          <v:shape id="_x0000_i1028" type="#_x0000_t75" style="width:9pt;height:17.25pt" o:ole="">
            <v:imagedata r:id="rId15" o:title=""/>
          </v:shape>
          <o:OLEObject Type="Embed" ProgID="Equation.3" ShapeID="_x0000_i1028" DrawAspect="Content" ObjectID="_1459763382" r:id="rId16"/>
        </w:object>
      </w:r>
    </w:p>
    <w:p w:rsidR="003C5372" w:rsidRPr="000925CD" w:rsidRDefault="003C5372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3349FF" w:rsidRPr="000925CD" w:rsidRDefault="003349FF" w:rsidP="00B05E0F">
      <w:pPr>
        <w:pStyle w:val="Normal9pt"/>
        <w:numPr>
          <w:ilvl w:val="2"/>
          <w:numId w:val="7"/>
        </w:numPr>
        <w:rPr>
          <w:b/>
          <w:i w:val="0"/>
        </w:rPr>
      </w:pPr>
      <w:r w:rsidRPr="000925CD">
        <w:rPr>
          <w:b/>
          <w:i w:val="0"/>
        </w:rPr>
        <w:t>Bandas de tiempo: Las entidades deberán medir y registrar los requerimientos de liquidez por lo menos sobre las siguientes bandas de tiempo:</w:t>
      </w:r>
    </w:p>
    <w:p w:rsidR="003349FF" w:rsidRPr="000925CD" w:rsidRDefault="003349FF" w:rsidP="003349FF">
      <w:pPr>
        <w:pBdr>
          <w:left w:val="single" w:sz="4" w:space="4" w:color="auto"/>
        </w:pBdr>
        <w:rPr>
          <w:b/>
          <w:i w:val="0"/>
          <w:sz w:val="18"/>
        </w:rPr>
      </w:pPr>
    </w:p>
    <w:p w:rsidR="003349FF" w:rsidRPr="000925CD" w:rsidRDefault="003349FF" w:rsidP="003349FF">
      <w:pPr>
        <w:pStyle w:val="Normal9pt"/>
        <w:numPr>
          <w:ilvl w:val="3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b/>
          <w:i w:val="0"/>
        </w:rPr>
        <w:t>Primera banda: Se deben registrar las operaciones con cumplimiento al día hábil siguiente a la fecha de corte.</w:t>
      </w:r>
    </w:p>
    <w:p w:rsidR="003349FF" w:rsidRPr="000925CD" w:rsidRDefault="003349FF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349FF" w:rsidRPr="000925CD" w:rsidRDefault="003349FF" w:rsidP="003349FF">
      <w:pPr>
        <w:pStyle w:val="Normal9pt"/>
        <w:numPr>
          <w:ilvl w:val="3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b/>
          <w:i w:val="0"/>
        </w:rPr>
        <w:t>Segunda banda:</w:t>
      </w:r>
      <w:r w:rsidRPr="000925CD">
        <w:rPr>
          <w:i w:val="0"/>
        </w:rPr>
        <w:t xml:space="preserve"> </w:t>
      </w:r>
      <w:r w:rsidRPr="000925CD">
        <w:rPr>
          <w:b/>
          <w:i w:val="0"/>
        </w:rPr>
        <w:t>Se deben registrar las operaciones con cumplimiento entre el segundo día hábil a partir de la fecha de corte y hasta el séptimo día (7°) calendario a partir de la fecha de corte.</w:t>
      </w:r>
    </w:p>
    <w:p w:rsidR="003349FF" w:rsidRPr="000925CD" w:rsidRDefault="003349FF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349FF" w:rsidRPr="000925CD" w:rsidRDefault="003349FF" w:rsidP="003349FF">
      <w:pPr>
        <w:pStyle w:val="Normal9pt"/>
        <w:numPr>
          <w:ilvl w:val="3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b/>
          <w:i w:val="0"/>
        </w:rPr>
        <w:t>Tercera banda: Se deben registrar las operaciones con cumplimiento desde el octavo día (8º) hasta el trigésimo día (30º) calendario, contados desde la fecha de corte.</w:t>
      </w:r>
    </w:p>
    <w:p w:rsidR="003349FF" w:rsidRPr="000925CD" w:rsidRDefault="003349FF" w:rsidP="003349FF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3349FF" w:rsidRPr="000925CD" w:rsidRDefault="003349FF" w:rsidP="003349FF">
      <w:pPr>
        <w:pStyle w:val="Normal9pt"/>
        <w:numPr>
          <w:ilvl w:val="3"/>
          <w:numId w:val="7"/>
        </w:numPr>
        <w:pBdr>
          <w:left w:val="single" w:sz="4" w:space="4" w:color="auto"/>
        </w:pBdr>
        <w:rPr>
          <w:b/>
          <w:i w:val="0"/>
        </w:rPr>
      </w:pPr>
      <w:r w:rsidRPr="000925CD">
        <w:rPr>
          <w:b/>
          <w:i w:val="0"/>
        </w:rPr>
        <w:t>Cuarta banda: Se deben registrar las operaciones con cumplimiento a partir del trigésimo primer día (31º) calendario, contados desde la fecha de corte.</w:t>
      </w:r>
    </w:p>
    <w:p w:rsidR="00345086" w:rsidRPr="000925CD" w:rsidRDefault="00345086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5A6DDD" w:rsidRPr="000925CD" w:rsidRDefault="005A6DDD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9457B5" w:rsidRPr="000925CD" w:rsidRDefault="009457B5" w:rsidP="0067019B">
      <w:pPr>
        <w:pStyle w:val="Normal9pt"/>
        <w:numPr>
          <w:ilvl w:val="1"/>
          <w:numId w:val="7"/>
        </w:numPr>
        <w:pBdr>
          <w:left w:val="single" w:sz="4" w:space="4" w:color="auto"/>
        </w:pBdr>
        <w:rPr>
          <w:i w:val="0"/>
        </w:rPr>
      </w:pPr>
      <w:r w:rsidRPr="000925CD">
        <w:rPr>
          <w:b/>
          <w:i w:val="0"/>
        </w:rPr>
        <w:t>Cálculo del Indicador de Riesgo de Liquidez (IRL) diario</w:t>
      </w:r>
      <w:r w:rsidR="00625C6B" w:rsidRPr="000925CD">
        <w:rPr>
          <w:b/>
          <w:i w:val="0"/>
        </w:rPr>
        <w:t xml:space="preserve"> y a siete </w:t>
      </w:r>
      <w:r w:rsidR="00180183" w:rsidRPr="000925CD">
        <w:rPr>
          <w:b/>
          <w:i w:val="0"/>
        </w:rPr>
        <w:t>días</w:t>
      </w:r>
      <w:r w:rsidRPr="000925CD">
        <w:rPr>
          <w:b/>
          <w:i w:val="0"/>
        </w:rPr>
        <w:t>.</w:t>
      </w:r>
    </w:p>
    <w:p w:rsidR="009457B5" w:rsidRPr="000925CD" w:rsidRDefault="009457B5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</w:p>
    <w:p w:rsidR="00034E60" w:rsidRDefault="00561D6A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  <w:r w:rsidRPr="000925CD">
        <w:rPr>
          <w:i w:val="0"/>
        </w:rPr>
        <w:t>El Indicador de Riesgo de Liquidez (</w:t>
      </w:r>
      <w:proofErr w:type="spellStart"/>
      <w:r w:rsidRPr="000925CD">
        <w:rPr>
          <w:i w:val="0"/>
        </w:rPr>
        <w:t>IRL</w:t>
      </w:r>
      <w:r w:rsidR="00034E60" w:rsidRPr="00034E60">
        <w:rPr>
          <w:b/>
          <w:i w:val="0"/>
          <w:vertAlign w:val="subscript"/>
        </w:rPr>
        <w:t>m</w:t>
      </w:r>
      <w:proofErr w:type="spellEnd"/>
      <w:r w:rsidRPr="000925CD">
        <w:rPr>
          <w:i w:val="0"/>
        </w:rPr>
        <w:t xml:space="preserve">) será </w:t>
      </w:r>
      <w:r w:rsidR="00B80EF5" w:rsidRPr="000925CD">
        <w:rPr>
          <w:i w:val="0"/>
        </w:rPr>
        <w:t xml:space="preserve">la </w:t>
      </w:r>
      <w:r w:rsidR="005B196F" w:rsidRPr="000925CD">
        <w:rPr>
          <w:b/>
          <w:i w:val="0"/>
        </w:rPr>
        <w:t xml:space="preserve">diferencia </w:t>
      </w:r>
      <w:r w:rsidR="005B196F" w:rsidRPr="000925CD">
        <w:rPr>
          <w:i w:val="0"/>
        </w:rPr>
        <w:t xml:space="preserve">entre </w:t>
      </w:r>
      <w:r w:rsidRPr="000925CD">
        <w:rPr>
          <w:i w:val="0"/>
        </w:rPr>
        <w:t>los activos líquidos</w:t>
      </w:r>
      <w:r w:rsidR="009D116E" w:rsidRPr="000925CD">
        <w:rPr>
          <w:i w:val="0"/>
        </w:rPr>
        <w:t xml:space="preserve"> </w:t>
      </w:r>
      <w:r w:rsidR="009D116E" w:rsidRPr="000925CD">
        <w:rPr>
          <w:b/>
          <w:i w:val="0"/>
        </w:rPr>
        <w:t>ajustados</w:t>
      </w:r>
      <w:r w:rsidRPr="000925CD">
        <w:rPr>
          <w:i w:val="0"/>
        </w:rPr>
        <w:t xml:space="preserve"> </w:t>
      </w:r>
      <w:r w:rsidR="00E02890" w:rsidRPr="000925CD">
        <w:rPr>
          <w:i w:val="0"/>
        </w:rPr>
        <w:t>(</w:t>
      </w:r>
      <w:r w:rsidR="00E02890" w:rsidRPr="000925CD">
        <w:rPr>
          <w:b/>
          <w:i w:val="0"/>
        </w:rPr>
        <w:t>AL</w:t>
      </w:r>
      <w:r w:rsidR="009D116E" w:rsidRPr="000925CD">
        <w:rPr>
          <w:b/>
          <w:i w:val="0"/>
        </w:rPr>
        <w:t>A</w:t>
      </w:r>
      <w:r w:rsidR="00E02890" w:rsidRPr="000925CD">
        <w:rPr>
          <w:i w:val="0"/>
        </w:rPr>
        <w:t>)</w:t>
      </w:r>
      <w:r w:rsidR="008F7B84" w:rsidRPr="000925CD">
        <w:rPr>
          <w:b/>
          <w:i w:val="0"/>
        </w:rPr>
        <w:t>,</w:t>
      </w:r>
      <w:r w:rsidR="00161E8A" w:rsidRPr="000925CD">
        <w:rPr>
          <w:b/>
          <w:i w:val="0"/>
        </w:rPr>
        <w:t xml:space="preserve"> </w:t>
      </w:r>
      <w:r w:rsidR="005B196F" w:rsidRPr="000925CD">
        <w:rPr>
          <w:b/>
          <w:i w:val="0"/>
        </w:rPr>
        <w:t>y la sumatoria d</w:t>
      </w:r>
      <w:r w:rsidR="00E02890" w:rsidRPr="000925CD">
        <w:rPr>
          <w:b/>
          <w:i w:val="0"/>
        </w:rPr>
        <w:t>el</w:t>
      </w:r>
      <w:r w:rsidR="00E02890" w:rsidRPr="000925CD">
        <w:rPr>
          <w:i w:val="0"/>
        </w:rPr>
        <w:t xml:space="preserve"> requerimiento de liquidez </w:t>
      </w:r>
      <w:r w:rsidR="009D116E" w:rsidRPr="000925CD">
        <w:rPr>
          <w:b/>
          <w:i w:val="0"/>
        </w:rPr>
        <w:t>neto</w:t>
      </w:r>
      <w:r w:rsidR="009D116E" w:rsidRPr="000925CD">
        <w:rPr>
          <w:i w:val="0"/>
        </w:rPr>
        <w:t xml:space="preserve"> </w:t>
      </w:r>
      <w:r w:rsidR="00641E7C" w:rsidRPr="000925CD">
        <w:rPr>
          <w:i w:val="0"/>
        </w:rPr>
        <w:t xml:space="preserve">en cuenta </w:t>
      </w:r>
      <w:r w:rsidR="00B27A3E" w:rsidRPr="000925CD">
        <w:rPr>
          <w:i w:val="0"/>
        </w:rPr>
        <w:t xml:space="preserve">propia </w:t>
      </w:r>
      <w:r w:rsidR="00E02890" w:rsidRPr="000925CD">
        <w:rPr>
          <w:i w:val="0"/>
        </w:rPr>
        <w:t>(</w:t>
      </w:r>
      <w:r w:rsidR="00E02890" w:rsidRPr="000925CD">
        <w:rPr>
          <w:b/>
          <w:i w:val="0"/>
        </w:rPr>
        <w:t>RL</w:t>
      </w:r>
      <w:r w:rsidR="009D116E" w:rsidRPr="000925CD">
        <w:rPr>
          <w:b/>
          <w:i w:val="0"/>
        </w:rPr>
        <w:t>N</w:t>
      </w:r>
      <w:r w:rsidR="009D116E" w:rsidRPr="000925CD">
        <w:rPr>
          <w:b/>
          <w:i w:val="0"/>
          <w:vertAlign w:val="subscript"/>
        </w:rPr>
        <w:t>CP</w:t>
      </w:r>
      <w:r w:rsidR="00161E8A" w:rsidRPr="000925CD">
        <w:rPr>
          <w:i w:val="0"/>
        </w:rPr>
        <w:t>)</w:t>
      </w:r>
      <w:r w:rsidR="008F7B84" w:rsidRPr="000925CD">
        <w:rPr>
          <w:b/>
          <w:i w:val="0"/>
        </w:rPr>
        <w:t xml:space="preserve"> y el requerimiento de liquidez </w:t>
      </w:r>
      <w:r w:rsidR="009D116E" w:rsidRPr="000925CD">
        <w:rPr>
          <w:b/>
          <w:i w:val="0"/>
        </w:rPr>
        <w:t xml:space="preserve">neto </w:t>
      </w:r>
      <w:r w:rsidR="008F7B84" w:rsidRPr="000925CD">
        <w:rPr>
          <w:b/>
          <w:i w:val="0"/>
        </w:rPr>
        <w:t>por cuenta de terceros (RL</w:t>
      </w:r>
      <w:r w:rsidR="009D116E" w:rsidRPr="000925CD">
        <w:rPr>
          <w:b/>
          <w:i w:val="0"/>
        </w:rPr>
        <w:t>N</w:t>
      </w:r>
      <w:r w:rsidR="009D116E" w:rsidRPr="000925CD">
        <w:rPr>
          <w:b/>
          <w:i w:val="0"/>
          <w:vertAlign w:val="subscript"/>
        </w:rPr>
        <w:t>CT</w:t>
      </w:r>
      <w:r w:rsidR="008F7B84" w:rsidRPr="000925CD">
        <w:rPr>
          <w:b/>
          <w:i w:val="0"/>
        </w:rPr>
        <w:t>)</w:t>
      </w:r>
      <w:r w:rsidR="00D128AA" w:rsidRPr="000925CD">
        <w:rPr>
          <w:i w:val="0"/>
        </w:rPr>
        <w:t xml:space="preserve"> </w:t>
      </w:r>
      <w:r w:rsidR="005B196F" w:rsidRPr="000925CD">
        <w:rPr>
          <w:b/>
          <w:i w:val="0"/>
        </w:rPr>
        <w:t>para</w:t>
      </w:r>
      <w:r w:rsidR="005B196F" w:rsidRPr="000925CD">
        <w:rPr>
          <w:i w:val="0"/>
        </w:rPr>
        <w:t xml:space="preserve"> </w:t>
      </w:r>
      <w:r w:rsidR="00D128AA" w:rsidRPr="000925CD">
        <w:rPr>
          <w:i w:val="0"/>
        </w:rPr>
        <w:t>la</w:t>
      </w:r>
      <w:r w:rsidR="005B196F" w:rsidRPr="000925CD">
        <w:rPr>
          <w:b/>
          <w:i w:val="0"/>
        </w:rPr>
        <w:t>s</w:t>
      </w:r>
      <w:r w:rsidR="00D128AA" w:rsidRPr="000925CD">
        <w:rPr>
          <w:i w:val="0"/>
        </w:rPr>
        <w:t xml:space="preserve"> banda</w:t>
      </w:r>
      <w:r w:rsidR="005B196F" w:rsidRPr="000925CD">
        <w:rPr>
          <w:b/>
          <w:i w:val="0"/>
        </w:rPr>
        <w:t>s</w:t>
      </w:r>
      <w:r w:rsidR="00D128AA" w:rsidRPr="000925CD">
        <w:rPr>
          <w:b/>
          <w:i w:val="0"/>
        </w:rPr>
        <w:t xml:space="preserve"> </w:t>
      </w:r>
      <w:r w:rsidR="00D128AA" w:rsidRPr="000925CD">
        <w:rPr>
          <w:i w:val="0"/>
        </w:rPr>
        <w:t>de tiempo</w:t>
      </w:r>
      <w:r w:rsidR="005B196F" w:rsidRPr="000925CD">
        <w:rPr>
          <w:i w:val="0"/>
        </w:rPr>
        <w:t xml:space="preserve"> </w:t>
      </w:r>
      <w:r w:rsidR="005B196F" w:rsidRPr="000925CD">
        <w:rPr>
          <w:b/>
          <w:i w:val="0"/>
        </w:rPr>
        <w:t>correspondientes</w:t>
      </w:r>
      <w:r w:rsidR="00A3082C" w:rsidRPr="000925CD">
        <w:rPr>
          <w:i w:val="0"/>
        </w:rPr>
        <w:t>.</w:t>
      </w:r>
      <w:r w:rsidRPr="000925CD">
        <w:rPr>
          <w:i w:val="0"/>
        </w:rPr>
        <w:t xml:space="preserve"> </w:t>
      </w:r>
    </w:p>
    <w:p w:rsidR="00034E60" w:rsidRDefault="00034E60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034E60" w:rsidRPr="00034E60" w:rsidRDefault="00034E60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b/>
          <w:i w:val="0"/>
        </w:rPr>
      </w:pPr>
      <w:r w:rsidRPr="00034E60">
        <w:rPr>
          <w:b/>
          <w:i w:val="0"/>
        </w:rPr>
        <w:t>El Indicador de Riesgo de Liquidez (</w:t>
      </w:r>
      <w:proofErr w:type="spellStart"/>
      <w:r w:rsidRPr="00034E60">
        <w:rPr>
          <w:b/>
          <w:i w:val="0"/>
        </w:rPr>
        <w:t>IRL</w:t>
      </w:r>
      <w:r w:rsidRPr="00034E60">
        <w:rPr>
          <w:b/>
          <w:i w:val="0"/>
          <w:vertAlign w:val="subscript"/>
        </w:rPr>
        <w:t>r</w:t>
      </w:r>
      <w:proofErr w:type="spellEnd"/>
      <w:r w:rsidRPr="00034E60">
        <w:rPr>
          <w:b/>
          <w:i w:val="0"/>
        </w:rPr>
        <w:t>) será la razón entre los activos líquidos ajustados (ALA), y la sumatoria del requerimiento de liquidez neto en cuenta propia (RLN</w:t>
      </w:r>
      <w:r w:rsidRPr="00034E60">
        <w:rPr>
          <w:b/>
          <w:i w:val="0"/>
          <w:vertAlign w:val="subscript"/>
        </w:rPr>
        <w:t>CP</w:t>
      </w:r>
      <w:r w:rsidRPr="00034E60">
        <w:rPr>
          <w:b/>
          <w:i w:val="0"/>
        </w:rPr>
        <w:t>) y el requerimiento de liquidez neto por cuenta de terceros (RLN</w:t>
      </w:r>
      <w:r w:rsidRPr="00034E60">
        <w:rPr>
          <w:b/>
          <w:i w:val="0"/>
          <w:vertAlign w:val="subscript"/>
        </w:rPr>
        <w:t>CT</w:t>
      </w:r>
      <w:r w:rsidRPr="00034E60">
        <w:rPr>
          <w:b/>
          <w:i w:val="0"/>
        </w:rPr>
        <w:t xml:space="preserve">) para las bandas de tiempo correspondientes. </w:t>
      </w:r>
    </w:p>
    <w:p w:rsidR="00034E60" w:rsidRDefault="00034E60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112AB7" w:rsidRDefault="00A3082C" w:rsidP="002420D3">
      <w:pPr>
        <w:pStyle w:val="Normal9pt"/>
        <w:numPr>
          <w:ilvl w:val="0"/>
          <w:numId w:val="0"/>
        </w:numPr>
        <w:rPr>
          <w:i w:val="0"/>
        </w:rPr>
      </w:pPr>
      <w:r w:rsidRPr="000925CD">
        <w:rPr>
          <w:i w:val="0"/>
        </w:rPr>
        <w:t xml:space="preserve">El </w:t>
      </w:r>
      <w:r w:rsidR="00561D6A" w:rsidRPr="000925CD">
        <w:rPr>
          <w:i w:val="0"/>
        </w:rPr>
        <w:t>cálculo</w:t>
      </w:r>
      <w:r w:rsidRPr="000925CD">
        <w:rPr>
          <w:i w:val="0"/>
        </w:rPr>
        <w:t xml:space="preserve"> del IRL</w:t>
      </w:r>
      <w:r w:rsidR="00561D6A" w:rsidRPr="000925CD">
        <w:rPr>
          <w:i w:val="0"/>
        </w:rPr>
        <w:t xml:space="preserve"> se expresa de la siguiente manera:</w:t>
      </w:r>
    </w:p>
    <w:p w:rsidR="00895CD9" w:rsidRPr="000925CD" w:rsidRDefault="00895CD9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rPr>
          <w:i w:val="0"/>
        </w:rPr>
      </w:pPr>
    </w:p>
    <w:p w:rsidR="00EE62D0" w:rsidRPr="00E96C5B" w:rsidRDefault="003978F1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jc w:val="center"/>
        <w:rPr>
          <w:position w:val="-12"/>
          <w:sz w:val="20"/>
        </w:rPr>
      </w:pPr>
      <w:r w:rsidRPr="00E96C5B">
        <w:rPr>
          <w:position w:val="-12"/>
          <w:sz w:val="20"/>
        </w:rPr>
        <w:object w:dxaOrig="3159" w:dyaOrig="380">
          <v:shape id="_x0000_i1029" type="#_x0000_t75" style="width:158.25pt;height:19.5pt" o:ole="">
            <v:imagedata r:id="rId17" o:title=""/>
          </v:shape>
          <o:OLEObject Type="Embed" ProgID="Equation.3" ShapeID="_x0000_i1029" DrawAspect="Content" ObjectID="_1459763383" r:id="rId18"/>
        </w:object>
      </w:r>
    </w:p>
    <w:p w:rsidR="000853FD" w:rsidRPr="00E96C5B" w:rsidRDefault="000853FD" w:rsidP="0067019B">
      <w:pPr>
        <w:pStyle w:val="Normal9pt"/>
        <w:numPr>
          <w:ilvl w:val="0"/>
          <w:numId w:val="0"/>
        </w:numPr>
        <w:pBdr>
          <w:left w:val="single" w:sz="4" w:space="4" w:color="auto"/>
        </w:pBdr>
        <w:jc w:val="center"/>
        <w:rPr>
          <w:i w:val="0"/>
        </w:rPr>
      </w:pPr>
    </w:p>
    <w:p w:rsidR="008F7B84" w:rsidRPr="00E96C5B" w:rsidRDefault="003978F1" w:rsidP="0067019B">
      <w:pPr>
        <w:pBdr>
          <w:left w:val="single" w:sz="4" w:space="4" w:color="auto"/>
        </w:pBdr>
        <w:autoSpaceDE w:val="0"/>
        <w:autoSpaceDN w:val="0"/>
        <w:adjustRightInd w:val="0"/>
        <w:jc w:val="center"/>
        <w:rPr>
          <w:i w:val="0"/>
          <w:lang w:val="es-MX"/>
        </w:rPr>
      </w:pPr>
      <w:r w:rsidRPr="00E96C5B">
        <w:rPr>
          <w:position w:val="-30"/>
          <w:sz w:val="20"/>
        </w:rPr>
        <w:object w:dxaOrig="2540" w:dyaOrig="680">
          <v:shape id="_x0000_i1030" type="#_x0000_t75" style="width:138pt;height:34.5pt" o:ole="">
            <v:imagedata r:id="rId19" o:title=""/>
          </v:shape>
          <o:OLEObject Type="Embed" ProgID="Equation.3" ShapeID="_x0000_i1030" DrawAspect="Content" ObjectID="_1459763384" r:id="rId20"/>
        </w:object>
      </w:r>
    </w:p>
    <w:p w:rsidR="009D116E" w:rsidRPr="00E96C5B" w:rsidRDefault="009D116E" w:rsidP="0067019B">
      <w:pPr>
        <w:pBdr>
          <w:left w:val="single" w:sz="4" w:space="4" w:color="auto"/>
        </w:pBdr>
        <w:autoSpaceDE w:val="0"/>
        <w:autoSpaceDN w:val="0"/>
        <w:adjustRightInd w:val="0"/>
        <w:jc w:val="center"/>
        <w:rPr>
          <w:i w:val="0"/>
          <w:lang w:val="es-MX"/>
        </w:rPr>
      </w:pPr>
      <w:r w:rsidRPr="00E96C5B">
        <w:rPr>
          <w:i w:val="0"/>
          <w:position w:val="-10"/>
        </w:rPr>
        <w:object w:dxaOrig="180" w:dyaOrig="340">
          <v:shape id="_x0000_i1031" type="#_x0000_t75" style="width:9pt;height:17.25pt" o:ole="">
            <v:imagedata r:id="rId15" o:title=""/>
          </v:shape>
          <o:OLEObject Type="Embed" ProgID="Equation.3" ShapeID="_x0000_i1031" DrawAspect="Content" ObjectID="_1459763385" r:id="rId21"/>
        </w:object>
      </w:r>
    </w:p>
    <w:p w:rsidR="008F7B84" w:rsidRPr="00E96C5B" w:rsidRDefault="008F7B84" w:rsidP="0067019B">
      <w:pPr>
        <w:pBdr>
          <w:left w:val="single" w:sz="4" w:space="4" w:color="auto"/>
        </w:pBdr>
        <w:autoSpaceDE w:val="0"/>
        <w:autoSpaceDN w:val="0"/>
        <w:adjustRightInd w:val="0"/>
        <w:jc w:val="both"/>
        <w:rPr>
          <w:i w:val="0"/>
          <w:sz w:val="18"/>
          <w:lang w:val="es-MX"/>
        </w:rPr>
      </w:pPr>
      <w:r w:rsidRPr="00E96C5B">
        <w:rPr>
          <w:i w:val="0"/>
          <w:sz w:val="18"/>
          <w:lang w:val="es-MX"/>
        </w:rPr>
        <w:t>Donde,</w:t>
      </w:r>
    </w:p>
    <w:p w:rsidR="008F7B84" w:rsidRPr="00E96C5B" w:rsidRDefault="008F7B84" w:rsidP="0067019B">
      <w:pPr>
        <w:pBdr>
          <w:left w:val="single" w:sz="4" w:space="4" w:color="auto"/>
        </w:pBdr>
        <w:autoSpaceDE w:val="0"/>
        <w:autoSpaceDN w:val="0"/>
        <w:adjustRightInd w:val="0"/>
        <w:jc w:val="both"/>
        <w:rPr>
          <w:i w:val="0"/>
          <w:sz w:val="18"/>
          <w:lang w:val="es-MX"/>
        </w:rPr>
      </w:pPr>
    </w:p>
    <w:p w:rsidR="008F7B84" w:rsidRPr="00E96C5B" w:rsidRDefault="00F44BBC" w:rsidP="0067019B">
      <w:pPr>
        <w:pBdr>
          <w:left w:val="single" w:sz="4" w:space="4" w:color="auto"/>
        </w:pBdr>
        <w:autoSpaceDE w:val="0"/>
        <w:autoSpaceDN w:val="0"/>
        <w:adjustRightInd w:val="0"/>
        <w:jc w:val="both"/>
        <w:rPr>
          <w:i w:val="0"/>
          <w:sz w:val="18"/>
          <w:lang w:val="es-MX"/>
        </w:rPr>
      </w:pPr>
      <w:proofErr w:type="spellStart"/>
      <w:r>
        <w:rPr>
          <w:i w:val="0"/>
          <w:sz w:val="18"/>
          <w:lang w:val="es-MX"/>
        </w:rPr>
        <w:t>I</w:t>
      </w:r>
      <w:r w:rsidR="003978F1" w:rsidRPr="00E96C5B">
        <w:rPr>
          <w:i w:val="0"/>
          <w:sz w:val="18"/>
          <w:lang w:val="es-MX"/>
        </w:rPr>
        <w:t>RL</w:t>
      </w:r>
      <w:r w:rsidR="003978F1" w:rsidRPr="00E96C5B">
        <w:rPr>
          <w:i w:val="0"/>
          <w:sz w:val="18"/>
          <w:vertAlign w:val="subscript"/>
          <w:lang w:val="es-MX"/>
        </w:rPr>
        <w:t>m</w:t>
      </w:r>
      <w:proofErr w:type="spellEnd"/>
      <w:r w:rsidR="008F7B84" w:rsidRPr="00E96C5B">
        <w:rPr>
          <w:i w:val="0"/>
          <w:sz w:val="18"/>
          <w:lang w:val="es-MX"/>
        </w:rPr>
        <w:tab/>
        <w:t>IRL Monto</w:t>
      </w:r>
    </w:p>
    <w:p w:rsidR="008F7B84" w:rsidRPr="00E96C5B" w:rsidRDefault="003978F1" w:rsidP="0067019B">
      <w:pPr>
        <w:pBdr>
          <w:left w:val="single" w:sz="4" w:space="4" w:color="auto"/>
        </w:pBdr>
        <w:autoSpaceDE w:val="0"/>
        <w:autoSpaceDN w:val="0"/>
        <w:adjustRightInd w:val="0"/>
        <w:jc w:val="both"/>
        <w:rPr>
          <w:i w:val="0"/>
          <w:sz w:val="18"/>
          <w:lang w:val="es-MX"/>
        </w:rPr>
      </w:pPr>
      <w:r w:rsidRPr="00E96C5B">
        <w:rPr>
          <w:i w:val="0"/>
          <w:sz w:val="18"/>
          <w:lang w:val="es-MX"/>
        </w:rPr>
        <w:t>IRL</w:t>
      </w:r>
      <w:r w:rsidR="002420D3">
        <w:rPr>
          <w:i w:val="0"/>
          <w:sz w:val="18"/>
          <w:vertAlign w:val="subscript"/>
          <w:lang w:val="es-MX"/>
        </w:rPr>
        <w:t>r</w:t>
      </w:r>
      <w:r w:rsidR="008F7B84" w:rsidRPr="00E96C5B">
        <w:rPr>
          <w:i w:val="0"/>
          <w:sz w:val="18"/>
          <w:lang w:val="es-MX"/>
        </w:rPr>
        <w:t>:</w:t>
      </w:r>
      <w:r w:rsidR="008F7B84" w:rsidRPr="00E96C5B">
        <w:rPr>
          <w:i w:val="0"/>
          <w:sz w:val="18"/>
          <w:lang w:val="es-MX"/>
        </w:rPr>
        <w:tab/>
        <w:t>IRL Razón</w:t>
      </w:r>
    </w:p>
    <w:p w:rsidR="008F7B84" w:rsidRPr="00E96C5B" w:rsidRDefault="008F7B84" w:rsidP="0067019B">
      <w:pPr>
        <w:pBdr>
          <w:left w:val="single" w:sz="4" w:space="4" w:color="auto"/>
        </w:pBdr>
        <w:autoSpaceDE w:val="0"/>
        <w:autoSpaceDN w:val="0"/>
        <w:adjustRightInd w:val="0"/>
        <w:jc w:val="both"/>
        <w:rPr>
          <w:i w:val="0"/>
          <w:sz w:val="18"/>
          <w:lang w:val="es-MX"/>
        </w:rPr>
      </w:pPr>
      <w:r w:rsidRPr="00E96C5B">
        <w:rPr>
          <w:i w:val="0"/>
          <w:sz w:val="18"/>
          <w:lang w:val="es-MX"/>
        </w:rPr>
        <w:t>AL</w:t>
      </w:r>
      <w:r w:rsidR="007C40CD" w:rsidRPr="00E96C5B">
        <w:rPr>
          <w:i w:val="0"/>
          <w:sz w:val="18"/>
          <w:lang w:val="es-MX"/>
        </w:rPr>
        <w:t>A</w:t>
      </w:r>
      <w:r w:rsidRPr="00E96C5B">
        <w:rPr>
          <w:i w:val="0"/>
          <w:sz w:val="18"/>
          <w:lang w:val="es-MX"/>
        </w:rPr>
        <w:t>:</w:t>
      </w:r>
      <w:r w:rsidRPr="00E96C5B">
        <w:rPr>
          <w:i w:val="0"/>
          <w:sz w:val="18"/>
          <w:lang w:val="es-MX"/>
        </w:rPr>
        <w:tab/>
        <w:t>Activos líquidos</w:t>
      </w:r>
      <w:r w:rsidR="007C40CD" w:rsidRPr="00E96C5B">
        <w:rPr>
          <w:i w:val="0"/>
          <w:sz w:val="18"/>
          <w:lang w:val="es-MX"/>
        </w:rPr>
        <w:t xml:space="preserve"> Ajustados</w:t>
      </w:r>
      <w:r w:rsidRPr="00E96C5B">
        <w:rPr>
          <w:i w:val="0"/>
          <w:sz w:val="18"/>
          <w:lang w:val="es-MX"/>
        </w:rPr>
        <w:t>.</w:t>
      </w:r>
    </w:p>
    <w:p w:rsidR="00EE62D0" w:rsidRPr="00E96C5B" w:rsidRDefault="00EE62D0" w:rsidP="0067019B">
      <w:pPr>
        <w:pBdr>
          <w:left w:val="single" w:sz="4" w:space="4" w:color="auto"/>
        </w:pBdr>
        <w:autoSpaceDE w:val="0"/>
        <w:autoSpaceDN w:val="0"/>
        <w:adjustRightInd w:val="0"/>
        <w:jc w:val="both"/>
        <w:rPr>
          <w:i w:val="0"/>
          <w:sz w:val="18"/>
          <w:lang w:val="es-MX"/>
        </w:rPr>
      </w:pPr>
      <w:r w:rsidRPr="00E96C5B">
        <w:rPr>
          <w:i w:val="0"/>
          <w:sz w:val="18"/>
          <w:lang w:val="es-MX"/>
        </w:rPr>
        <w:t>RLN</w:t>
      </w:r>
      <w:r w:rsidRPr="00E96C5B">
        <w:rPr>
          <w:i w:val="0"/>
          <w:sz w:val="18"/>
          <w:vertAlign w:val="subscript"/>
          <w:lang w:val="es-MX"/>
        </w:rPr>
        <w:t>CP</w:t>
      </w:r>
      <w:proofErr w:type="gramStart"/>
      <w:r w:rsidR="00F44BBC">
        <w:rPr>
          <w:i w:val="0"/>
          <w:sz w:val="18"/>
          <w:lang w:val="es-MX"/>
        </w:rPr>
        <w:t>:  Requerimiento</w:t>
      </w:r>
      <w:proofErr w:type="gramEnd"/>
      <w:r w:rsidRPr="00E96C5B">
        <w:rPr>
          <w:i w:val="0"/>
          <w:sz w:val="18"/>
          <w:lang w:val="es-MX"/>
        </w:rPr>
        <w:t xml:space="preserve"> de Liquidez Neto Cuenta Propia</w:t>
      </w:r>
    </w:p>
    <w:p w:rsidR="009457B5" w:rsidRPr="00E96C5B" w:rsidRDefault="007C40CD" w:rsidP="0067019B">
      <w:pPr>
        <w:pBdr>
          <w:left w:val="single" w:sz="4" w:space="4" w:color="auto"/>
        </w:pBdr>
        <w:autoSpaceDE w:val="0"/>
        <w:autoSpaceDN w:val="0"/>
        <w:adjustRightInd w:val="0"/>
        <w:jc w:val="both"/>
        <w:rPr>
          <w:i w:val="0"/>
          <w:sz w:val="18"/>
          <w:lang w:val="es-MX"/>
        </w:rPr>
      </w:pPr>
      <w:r w:rsidRPr="00E96C5B">
        <w:rPr>
          <w:i w:val="0"/>
          <w:sz w:val="18"/>
          <w:lang w:val="es-MX"/>
        </w:rPr>
        <w:t>RLN</w:t>
      </w:r>
      <w:r w:rsidR="003978F1" w:rsidRPr="00E96C5B">
        <w:rPr>
          <w:i w:val="0"/>
          <w:sz w:val="18"/>
          <w:vertAlign w:val="subscript"/>
          <w:lang w:val="es-MX"/>
        </w:rPr>
        <w:t>CT</w:t>
      </w:r>
      <w:r w:rsidR="008F7B84" w:rsidRPr="00E96C5B">
        <w:rPr>
          <w:i w:val="0"/>
          <w:sz w:val="18"/>
          <w:lang w:val="es-MX"/>
        </w:rPr>
        <w:t>:</w:t>
      </w:r>
      <w:r w:rsidR="008F7B84" w:rsidRPr="00E96C5B">
        <w:rPr>
          <w:i w:val="0"/>
          <w:sz w:val="18"/>
          <w:lang w:val="es-MX"/>
        </w:rPr>
        <w:tab/>
      </w:r>
      <w:r w:rsidRPr="00E96C5B">
        <w:rPr>
          <w:i w:val="0"/>
          <w:sz w:val="18"/>
          <w:lang w:val="es-MX"/>
        </w:rPr>
        <w:t xml:space="preserve">Requerimiento de Liquidez Neto </w:t>
      </w:r>
      <w:r w:rsidR="008F7B84" w:rsidRPr="00E96C5B">
        <w:rPr>
          <w:i w:val="0"/>
          <w:sz w:val="18"/>
          <w:lang w:val="es-MX"/>
        </w:rPr>
        <w:t xml:space="preserve">de </w:t>
      </w:r>
      <w:r w:rsidR="000925CD">
        <w:rPr>
          <w:i w:val="0"/>
          <w:sz w:val="18"/>
          <w:lang w:val="es-MX"/>
        </w:rPr>
        <w:t xml:space="preserve">por Cuenta de </w:t>
      </w:r>
      <w:r w:rsidR="008F7B84" w:rsidRPr="00E96C5B">
        <w:rPr>
          <w:i w:val="0"/>
          <w:sz w:val="18"/>
          <w:lang w:val="es-MX"/>
        </w:rPr>
        <w:t>Terceros</w:t>
      </w:r>
    </w:p>
    <w:sectPr w:rsidR="009457B5" w:rsidRPr="00E96C5B" w:rsidSect="00C77157">
      <w:headerReference w:type="default" r:id="rId22"/>
      <w:footerReference w:type="default" r:id="rId23"/>
      <w:headerReference w:type="first" r:id="rId24"/>
      <w:footerReference w:type="first" r:id="rId25"/>
      <w:pgSz w:w="12242" w:h="18722" w:code="14"/>
      <w:pgMar w:top="1701" w:right="1418" w:bottom="1418" w:left="1701" w:header="567" w:footer="1418" w:gutter="0"/>
      <w:paperSrc w:first="2" w:other="2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357" w:rsidRDefault="009F5357">
      <w:r>
        <w:separator/>
      </w:r>
    </w:p>
  </w:endnote>
  <w:endnote w:type="continuationSeparator" w:id="0">
    <w:p w:rsidR="009F5357" w:rsidRDefault="009F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08" w:rsidRDefault="001B5808">
    <w:pPr>
      <w:pStyle w:val="Piedepgina"/>
      <w:tabs>
        <w:tab w:val="clear" w:pos="8504"/>
        <w:tab w:val="right" w:pos="9300"/>
      </w:tabs>
      <w:rPr>
        <w:rStyle w:val="Nmerodepgina"/>
        <w:rFonts w:cs="Arial"/>
        <w:b/>
        <w:bCs/>
        <w:sz w:val="20"/>
        <w:szCs w:val="20"/>
        <w:lang w:val="pt-BR"/>
      </w:rPr>
    </w:pPr>
  </w:p>
  <w:p w:rsidR="001B5808" w:rsidRDefault="001B5808" w:rsidP="00CD01DC">
    <w:pPr>
      <w:jc w:val="both"/>
      <w:outlineLvl w:val="0"/>
      <w:rPr>
        <w:rStyle w:val="Nmerodepgina"/>
        <w:rFonts w:cs="Arial"/>
        <w:b/>
        <w:bCs/>
        <w:sz w:val="20"/>
        <w:szCs w:val="20"/>
        <w:lang w:val="pt-BR"/>
      </w:rPr>
    </w:pPr>
  </w:p>
  <w:p w:rsidR="001B5808" w:rsidRDefault="001B5808" w:rsidP="00CD01DC">
    <w:pPr>
      <w:jc w:val="both"/>
      <w:outlineLvl w:val="0"/>
      <w:rPr>
        <w:rStyle w:val="Nmerodepgina"/>
        <w:rFonts w:cs="Arial"/>
        <w:b/>
        <w:bCs/>
        <w:sz w:val="20"/>
        <w:szCs w:val="20"/>
        <w:lang w:val="pt-BR"/>
      </w:rPr>
    </w:pPr>
  </w:p>
  <w:p w:rsidR="001B5808" w:rsidRPr="00FF1274" w:rsidRDefault="001B5808" w:rsidP="006F3EBE">
    <w:pPr>
      <w:pBdr>
        <w:left w:val="single" w:sz="4" w:space="4" w:color="auto"/>
      </w:pBdr>
      <w:jc w:val="both"/>
      <w:outlineLvl w:val="0"/>
      <w:rPr>
        <w:b/>
        <w:bCs/>
        <w:i w:val="0"/>
        <w:sz w:val="18"/>
      </w:rPr>
    </w:pPr>
    <w:r w:rsidRPr="00FF1274">
      <w:rPr>
        <w:rStyle w:val="Nmerodepgina"/>
        <w:rFonts w:cs="Arial"/>
        <w:b/>
        <w:bCs/>
        <w:i w:val="0"/>
        <w:sz w:val="18"/>
      </w:rPr>
      <w:t xml:space="preserve">Anexo 2 - </w:t>
    </w:r>
    <w:r w:rsidRPr="00FF1274">
      <w:rPr>
        <w:b/>
        <w:bCs/>
        <w:i w:val="0"/>
        <w:sz w:val="18"/>
      </w:rPr>
      <w:t>Metodología para la medición y reporte estándar del riesgo de liquidez de las sociedades comisionistas de bolsa de valores</w:t>
    </w:r>
  </w:p>
  <w:p w:rsidR="001B5808" w:rsidRPr="00FF1274" w:rsidRDefault="001B5808" w:rsidP="00CD01DC">
    <w:pPr>
      <w:pStyle w:val="Piedepgina"/>
      <w:rPr>
        <w:rStyle w:val="Nmerodepgina"/>
        <w:rFonts w:cs="Arial"/>
        <w:b/>
        <w:bCs/>
        <w:i w:val="0"/>
        <w:sz w:val="18"/>
      </w:rPr>
    </w:pPr>
  </w:p>
  <w:p w:rsidR="001B5808" w:rsidRPr="00FF1274" w:rsidRDefault="001B5808" w:rsidP="00A917CF">
    <w:pPr>
      <w:pStyle w:val="Piedepgina"/>
      <w:tabs>
        <w:tab w:val="clear" w:pos="8504"/>
        <w:tab w:val="right" w:pos="9300"/>
      </w:tabs>
      <w:jc w:val="right"/>
      <w:rPr>
        <w:rStyle w:val="Nmerodepgina"/>
        <w:rFonts w:cs="Arial"/>
        <w:b/>
        <w:bCs/>
        <w:i w:val="0"/>
        <w:sz w:val="18"/>
        <w:lang w:val="pt-BR"/>
      </w:rPr>
    </w:pPr>
    <w:r w:rsidRPr="00FF1274">
      <w:rPr>
        <w:rStyle w:val="Nmerodepgina"/>
        <w:rFonts w:cs="Arial"/>
        <w:b/>
        <w:bCs/>
        <w:i w:val="0"/>
        <w:sz w:val="18"/>
        <w:lang w:val="pt-BR"/>
      </w:rPr>
      <w:t>Circular Externa</w:t>
    </w:r>
    <w:proofErr w:type="gramStart"/>
    <w:r w:rsidRPr="00FF1274">
      <w:rPr>
        <w:rStyle w:val="Nmerodepgina"/>
        <w:rFonts w:cs="Arial"/>
        <w:b/>
        <w:bCs/>
        <w:i w:val="0"/>
        <w:sz w:val="18"/>
        <w:lang w:val="pt-BR"/>
      </w:rPr>
      <w:t xml:space="preserve">  </w:t>
    </w:r>
    <w:proofErr w:type="gramEnd"/>
    <w:r w:rsidR="00F90C8D">
      <w:rPr>
        <w:rStyle w:val="Nmerodepgina"/>
        <w:rFonts w:cs="Arial"/>
        <w:b/>
        <w:bCs/>
        <w:i w:val="0"/>
        <w:sz w:val="18"/>
        <w:lang w:val="pt-BR"/>
      </w:rPr>
      <w:t>010</w:t>
    </w:r>
    <w:r w:rsidRPr="00FF1274">
      <w:rPr>
        <w:rStyle w:val="Nmerodepgina"/>
        <w:rFonts w:cs="Arial"/>
        <w:b/>
        <w:bCs/>
        <w:i w:val="0"/>
        <w:sz w:val="18"/>
        <w:lang w:val="pt-BR"/>
      </w:rPr>
      <w:t xml:space="preserve"> de 2014       </w:t>
    </w:r>
    <w:r w:rsidR="00F90C8D">
      <w:rPr>
        <w:rStyle w:val="Nmerodepgina"/>
        <w:rFonts w:cs="Arial"/>
        <w:b/>
        <w:bCs/>
        <w:i w:val="0"/>
        <w:sz w:val="18"/>
        <w:lang w:val="pt-BR"/>
      </w:rPr>
      <w:t xml:space="preserve"> </w:t>
    </w:r>
    <w:r w:rsidRPr="00FF1274">
      <w:rPr>
        <w:rStyle w:val="Nmerodepgina"/>
        <w:rFonts w:cs="Arial"/>
        <w:b/>
        <w:bCs/>
        <w:i w:val="0"/>
        <w:sz w:val="18"/>
        <w:lang w:val="pt-BR"/>
      </w:rPr>
      <w:t xml:space="preserve"> </w:t>
    </w:r>
    <w:r w:rsidR="00A917CF" w:rsidRPr="00FF1274">
      <w:rPr>
        <w:rStyle w:val="Nmerodepgina"/>
        <w:rFonts w:cs="Arial"/>
        <w:b/>
        <w:bCs/>
        <w:i w:val="0"/>
        <w:sz w:val="18"/>
        <w:lang w:val="pt-BR"/>
      </w:rPr>
      <w:t xml:space="preserve">         </w:t>
    </w:r>
    <w:r w:rsidRPr="00FF1274">
      <w:rPr>
        <w:rStyle w:val="Nmerodepgina"/>
        <w:rFonts w:cs="Arial"/>
        <w:b/>
        <w:bCs/>
        <w:i w:val="0"/>
        <w:sz w:val="18"/>
        <w:lang w:val="pt-BR"/>
      </w:rPr>
      <w:t xml:space="preserve">                                                                            </w:t>
    </w:r>
    <w:r w:rsidR="00A917CF" w:rsidRPr="00FF1274">
      <w:rPr>
        <w:rStyle w:val="Nmerodepgina"/>
        <w:rFonts w:cs="Arial"/>
        <w:b/>
        <w:bCs/>
        <w:i w:val="0"/>
        <w:sz w:val="18"/>
        <w:lang w:val="pt-BR"/>
      </w:rPr>
      <w:t xml:space="preserve">             </w:t>
    </w:r>
    <w:r w:rsidR="009B5414" w:rsidRPr="00FF1274">
      <w:rPr>
        <w:rStyle w:val="Nmerodepgina"/>
        <w:rFonts w:cs="Arial"/>
        <w:b/>
        <w:bCs/>
        <w:i w:val="0"/>
        <w:sz w:val="18"/>
        <w:lang w:val="pt-BR"/>
      </w:rPr>
      <w:t xml:space="preserve">Abril </w:t>
    </w:r>
    <w:r w:rsidRPr="00FF1274">
      <w:rPr>
        <w:rStyle w:val="Nmerodepgina"/>
        <w:rFonts w:cs="Arial"/>
        <w:b/>
        <w:bCs/>
        <w:i w:val="0"/>
        <w:sz w:val="18"/>
        <w:lang w:val="pt-BR"/>
      </w:rPr>
      <w:t>de 2014</w:t>
    </w:r>
  </w:p>
  <w:p w:rsidR="001B5808" w:rsidRPr="00FF1274" w:rsidRDefault="001B5808">
    <w:pPr>
      <w:pStyle w:val="Piedepgina"/>
      <w:tabs>
        <w:tab w:val="clear" w:pos="8504"/>
        <w:tab w:val="right" w:pos="9300"/>
      </w:tabs>
      <w:rPr>
        <w:rStyle w:val="Nmerodepgina"/>
        <w:rFonts w:cs="Arial"/>
        <w:b/>
        <w:bCs/>
        <w:i w:val="0"/>
        <w:sz w:val="18"/>
        <w:lang w:val="pt-BR"/>
      </w:rPr>
    </w:pPr>
  </w:p>
  <w:p w:rsidR="001B5808" w:rsidRDefault="001B5808">
    <w:pPr>
      <w:pStyle w:val="Piedepgina"/>
      <w:tabs>
        <w:tab w:val="clear" w:pos="8504"/>
        <w:tab w:val="right" w:pos="9300"/>
      </w:tabs>
      <w:rPr>
        <w:b/>
        <w:bCs/>
        <w:sz w:val="20"/>
        <w:szCs w:val="20"/>
        <w:lang w:val="pt-BR"/>
      </w:rPr>
    </w:pPr>
    <w:r>
      <w:rPr>
        <w:rStyle w:val="Nmerodepgina"/>
        <w:rFonts w:cs="Arial"/>
        <w:b/>
        <w:bCs/>
        <w:sz w:val="20"/>
        <w:szCs w:val="20"/>
        <w:lang w:val="pt-BR"/>
      </w:rPr>
      <w:tab/>
    </w:r>
    <w:r>
      <w:rPr>
        <w:rStyle w:val="Nmerodepgina"/>
        <w:rFonts w:cs="Arial"/>
        <w:b/>
        <w:bCs/>
        <w:sz w:val="20"/>
        <w:szCs w:val="20"/>
        <w:lang w:val="pt-B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08" w:rsidRDefault="001B5808">
    <w:pPr>
      <w:pStyle w:val="Piedepgina"/>
      <w:rPr>
        <w:rStyle w:val="Nmerodepgina"/>
        <w:rFonts w:cs="Arial"/>
        <w:b/>
        <w:bCs/>
        <w:sz w:val="20"/>
        <w:szCs w:val="20"/>
        <w:lang w:val="pt-BR"/>
      </w:rPr>
    </w:pPr>
  </w:p>
  <w:p w:rsidR="001B5808" w:rsidRDefault="001B5808">
    <w:pPr>
      <w:pStyle w:val="Piedepgina"/>
      <w:rPr>
        <w:rStyle w:val="Nmerodepgina"/>
        <w:rFonts w:cs="Arial"/>
        <w:b/>
        <w:bCs/>
        <w:sz w:val="20"/>
        <w:szCs w:val="20"/>
        <w:lang w:val="pt-BR"/>
      </w:rPr>
    </w:pPr>
  </w:p>
  <w:p w:rsidR="001B5808" w:rsidRPr="00044A2F" w:rsidRDefault="001B5808" w:rsidP="00CD01DC">
    <w:pPr>
      <w:jc w:val="both"/>
      <w:outlineLvl w:val="0"/>
      <w:rPr>
        <w:b/>
        <w:bCs/>
        <w:sz w:val="18"/>
      </w:rPr>
    </w:pPr>
    <w:r w:rsidRPr="00E35541">
      <w:rPr>
        <w:rStyle w:val="Nmerodepgina"/>
        <w:rFonts w:cs="Arial"/>
        <w:b/>
        <w:bCs/>
        <w:sz w:val="18"/>
      </w:rPr>
      <w:t xml:space="preserve">Anexo 2 </w:t>
    </w:r>
    <w:r w:rsidRPr="00E35541">
      <w:rPr>
        <w:rStyle w:val="Nmerodepgina"/>
        <w:rFonts w:cs="Arial"/>
        <w:b/>
        <w:bCs/>
        <w:sz w:val="20"/>
        <w:szCs w:val="20"/>
      </w:rPr>
      <w:t>- M</w:t>
    </w:r>
    <w:r w:rsidRPr="00044A2F">
      <w:rPr>
        <w:b/>
        <w:bCs/>
        <w:sz w:val="18"/>
      </w:rPr>
      <w:t xml:space="preserve">etodología para la </w:t>
    </w:r>
    <w:r>
      <w:rPr>
        <w:b/>
        <w:bCs/>
        <w:sz w:val="18"/>
      </w:rPr>
      <w:t>medición y reporte estándar</w:t>
    </w:r>
    <w:r w:rsidRPr="00044A2F">
      <w:rPr>
        <w:b/>
        <w:bCs/>
        <w:sz w:val="18"/>
      </w:rPr>
      <w:t xml:space="preserve"> del riesgo de liquidez</w:t>
    </w:r>
    <w:r>
      <w:rPr>
        <w:b/>
        <w:bCs/>
        <w:sz w:val="18"/>
      </w:rPr>
      <w:t xml:space="preserve"> en cuenta propia</w:t>
    </w:r>
    <w:r w:rsidRPr="00044A2F">
      <w:rPr>
        <w:b/>
        <w:bCs/>
        <w:sz w:val="18"/>
      </w:rPr>
      <w:t xml:space="preserve"> de </w:t>
    </w:r>
    <w:r>
      <w:rPr>
        <w:b/>
        <w:bCs/>
        <w:sz w:val="18"/>
      </w:rPr>
      <w:t>las sociedades comisionistas de bolsa de valores</w:t>
    </w:r>
  </w:p>
  <w:p w:rsidR="001B5808" w:rsidRPr="00CD01DC" w:rsidRDefault="001B5808">
    <w:pPr>
      <w:pStyle w:val="Piedepgina"/>
      <w:rPr>
        <w:rStyle w:val="Nmerodepgina"/>
        <w:rFonts w:cs="Arial"/>
        <w:b/>
        <w:bCs/>
        <w:sz w:val="20"/>
        <w:szCs w:val="20"/>
      </w:rPr>
    </w:pPr>
  </w:p>
  <w:p w:rsidR="001B5808" w:rsidRPr="00953A58" w:rsidRDefault="001B5808" w:rsidP="00CD01DC">
    <w:pPr>
      <w:pStyle w:val="Piedepgina"/>
      <w:rPr>
        <w:sz w:val="18"/>
      </w:rPr>
    </w:pPr>
    <w:r w:rsidRPr="00953A58">
      <w:rPr>
        <w:rStyle w:val="Nmerodepgina"/>
        <w:rFonts w:cs="Arial"/>
        <w:b/>
        <w:bCs/>
        <w:sz w:val="18"/>
        <w:lang w:val="pt-BR"/>
      </w:rPr>
      <w:t>Circular Externa</w:t>
    </w:r>
    <w:proofErr w:type="gramStart"/>
    <w:r>
      <w:rPr>
        <w:rStyle w:val="Nmerodepgina"/>
        <w:rFonts w:cs="Arial"/>
        <w:b/>
        <w:bCs/>
        <w:sz w:val="18"/>
        <w:lang w:val="pt-BR"/>
      </w:rPr>
      <w:t xml:space="preserve">  </w:t>
    </w:r>
    <w:proofErr w:type="gramEnd"/>
    <w:r>
      <w:rPr>
        <w:rStyle w:val="Nmerodepgina"/>
        <w:rFonts w:cs="Arial"/>
        <w:b/>
        <w:bCs/>
        <w:sz w:val="18"/>
        <w:lang w:val="pt-BR"/>
      </w:rPr>
      <w:t>007  de 2010</w:t>
    </w:r>
    <w:r w:rsidRPr="00953A58">
      <w:rPr>
        <w:rStyle w:val="Nmerodepgina"/>
        <w:rFonts w:cs="Arial"/>
        <w:b/>
        <w:bCs/>
        <w:sz w:val="18"/>
        <w:lang w:val="pt-BR"/>
      </w:rPr>
      <w:t xml:space="preserve">          </w:t>
    </w:r>
    <w:r>
      <w:rPr>
        <w:rStyle w:val="Nmerodepgina"/>
        <w:rFonts w:cs="Arial"/>
        <w:b/>
        <w:bCs/>
        <w:sz w:val="18"/>
        <w:lang w:val="pt-BR"/>
      </w:rPr>
      <w:t xml:space="preserve">                   </w:t>
    </w:r>
    <w:r w:rsidRPr="00953A58">
      <w:rPr>
        <w:rStyle w:val="Nmerodepgina"/>
        <w:rFonts w:cs="Arial"/>
        <w:b/>
        <w:bCs/>
        <w:sz w:val="18"/>
        <w:lang w:val="pt-BR"/>
      </w:rPr>
      <w:t xml:space="preserve">                                                              </w:t>
    </w:r>
    <w:r>
      <w:rPr>
        <w:rStyle w:val="Nmerodepgina"/>
        <w:rFonts w:cs="Arial"/>
        <w:b/>
        <w:bCs/>
        <w:sz w:val="18"/>
        <w:lang w:val="pt-BR"/>
      </w:rPr>
      <w:t xml:space="preserve">        MARZO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357" w:rsidRDefault="009F5357">
      <w:r>
        <w:separator/>
      </w:r>
    </w:p>
  </w:footnote>
  <w:footnote w:type="continuationSeparator" w:id="0">
    <w:p w:rsidR="009F5357" w:rsidRDefault="009F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08" w:rsidRDefault="001B5808" w:rsidP="005E2936">
    <w:pPr>
      <w:pStyle w:val="Encabezado"/>
      <w:jc w:val="center"/>
      <w:rPr>
        <w:rFonts w:ascii="Arial (W1)" w:hAnsi="Arial (W1)"/>
        <w:b/>
        <w:sz w:val="24"/>
        <w:szCs w:val="24"/>
      </w:rPr>
    </w:pPr>
  </w:p>
  <w:p w:rsidR="001B5808" w:rsidRPr="0035630F" w:rsidRDefault="001B5808" w:rsidP="0035630F">
    <w:pPr>
      <w:pStyle w:val="Encabezado"/>
      <w:jc w:val="center"/>
      <w:rPr>
        <w:i w:val="0"/>
        <w:sz w:val="24"/>
        <w:szCs w:val="24"/>
      </w:rPr>
    </w:pPr>
    <w:r w:rsidRPr="0035630F">
      <w:rPr>
        <w:i w:val="0"/>
        <w:sz w:val="24"/>
        <w:szCs w:val="24"/>
      </w:rPr>
      <w:t>SUPERINTENDENCIA FINANCIERA DE COLOMBIA</w:t>
    </w:r>
  </w:p>
  <w:p w:rsidR="001B5808" w:rsidRPr="0035630F" w:rsidRDefault="001B5808" w:rsidP="0035630F">
    <w:pPr>
      <w:pStyle w:val="Encabezado"/>
      <w:jc w:val="center"/>
      <w:rPr>
        <w:rFonts w:ascii="Arial (W1)" w:hAnsi="Arial (W1)"/>
        <w:b/>
        <w:i w:val="0"/>
        <w:sz w:val="24"/>
        <w:szCs w:val="24"/>
      </w:rPr>
    </w:pPr>
  </w:p>
  <w:p w:rsidR="001B5808" w:rsidRPr="0035630F" w:rsidRDefault="001B5808" w:rsidP="0035630F">
    <w:pPr>
      <w:pStyle w:val="Encabezado"/>
      <w:jc w:val="center"/>
      <w:rPr>
        <w:rFonts w:ascii="Arial (W1)" w:hAnsi="Arial (W1)"/>
        <w:b/>
        <w:i w:val="0"/>
        <w:sz w:val="24"/>
        <w:szCs w:val="24"/>
      </w:rPr>
    </w:pPr>
  </w:p>
  <w:p w:rsidR="001B5808" w:rsidRPr="0035630F" w:rsidRDefault="001B5808" w:rsidP="0035630F">
    <w:pPr>
      <w:pStyle w:val="Encabezado"/>
      <w:jc w:val="center"/>
      <w:rPr>
        <w:rFonts w:ascii="Arial (W1)" w:hAnsi="Arial (W1)"/>
        <w:b/>
        <w:i w:val="0"/>
        <w:sz w:val="24"/>
        <w:szCs w:val="24"/>
      </w:rPr>
    </w:pPr>
  </w:p>
  <w:p w:rsidR="001B5808" w:rsidRPr="0035630F" w:rsidRDefault="001B5808" w:rsidP="0035630F">
    <w:pPr>
      <w:pStyle w:val="Encabezado"/>
      <w:ind w:right="-21"/>
      <w:rPr>
        <w:rFonts w:ascii="Arial (W1)" w:hAnsi="Arial (W1)"/>
        <w:b/>
        <w:i w:val="0"/>
      </w:rPr>
    </w:pPr>
    <w:r w:rsidRPr="0035630F">
      <w:rPr>
        <w:rFonts w:ascii="Arial (W1)" w:hAnsi="Arial (W1)"/>
        <w:b/>
        <w:i w:val="0"/>
        <w:sz w:val="18"/>
      </w:rPr>
      <w:t>CAPITULO  VI REGLAS  RELATIVAS AL SISTEMA DE ADMINISTRACIÓN DEL RIESGO DE LIQUIDEZ</w:t>
    </w:r>
  </w:p>
  <w:p w:rsidR="001B5808" w:rsidRPr="0035630F" w:rsidRDefault="001B5808" w:rsidP="0035630F">
    <w:pPr>
      <w:pStyle w:val="Encabezado"/>
      <w:jc w:val="both"/>
      <w:rPr>
        <w:rStyle w:val="Nmerodepgina"/>
        <w:rFonts w:ascii="Arial (W1)" w:hAnsi="Arial (W1)"/>
        <w:b/>
        <w:bCs/>
        <w:i w:val="0"/>
        <w:sz w:val="20"/>
      </w:rPr>
    </w:pPr>
    <w:r w:rsidRPr="0035630F">
      <w:rPr>
        <w:rFonts w:ascii="Arial (W1)" w:hAnsi="Arial (W1)"/>
        <w:b/>
        <w:i w:val="0"/>
        <w:sz w:val="20"/>
      </w:rPr>
      <w:t xml:space="preserve">Página </w:t>
    </w:r>
    <w:r w:rsidRPr="0035630F">
      <w:rPr>
        <w:rStyle w:val="Nmerodepgina"/>
        <w:rFonts w:ascii="Arial (W1)" w:hAnsi="Arial (W1)"/>
        <w:b/>
        <w:bCs/>
        <w:i w:val="0"/>
        <w:sz w:val="20"/>
      </w:rPr>
      <w:fldChar w:fldCharType="begin"/>
    </w:r>
    <w:r w:rsidRPr="0035630F">
      <w:rPr>
        <w:rStyle w:val="Nmerodepgina"/>
        <w:rFonts w:ascii="Arial (W1)" w:hAnsi="Arial (W1)"/>
        <w:b/>
        <w:bCs/>
        <w:i w:val="0"/>
        <w:sz w:val="20"/>
      </w:rPr>
      <w:instrText xml:space="preserve"> PAGE </w:instrText>
    </w:r>
    <w:r w:rsidRPr="0035630F">
      <w:rPr>
        <w:rStyle w:val="Nmerodepgina"/>
        <w:rFonts w:ascii="Arial (W1)" w:hAnsi="Arial (W1)"/>
        <w:b/>
        <w:bCs/>
        <w:i w:val="0"/>
        <w:sz w:val="20"/>
      </w:rPr>
      <w:fldChar w:fldCharType="separate"/>
    </w:r>
    <w:r w:rsidR="00F90C8D">
      <w:rPr>
        <w:rStyle w:val="Nmerodepgina"/>
        <w:rFonts w:ascii="Arial (W1)" w:hAnsi="Arial (W1)"/>
        <w:b/>
        <w:bCs/>
        <w:i w:val="0"/>
        <w:noProof/>
        <w:sz w:val="20"/>
      </w:rPr>
      <w:t>3</w:t>
    </w:r>
    <w:r w:rsidRPr="0035630F">
      <w:rPr>
        <w:rStyle w:val="Nmerodepgina"/>
        <w:rFonts w:ascii="Arial (W1)" w:hAnsi="Arial (W1)"/>
        <w:b/>
        <w:bCs/>
        <w:i w:val="0"/>
        <w:sz w:val="20"/>
      </w:rPr>
      <w:fldChar w:fldCharType="end"/>
    </w:r>
  </w:p>
  <w:p w:rsidR="001B5808" w:rsidRDefault="001B5808">
    <w:pPr>
      <w:pStyle w:val="Encabezado"/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808" w:rsidRPr="005E2936" w:rsidRDefault="001B5808">
    <w:pPr>
      <w:pStyle w:val="Encabezado"/>
      <w:jc w:val="center"/>
      <w:rPr>
        <w:sz w:val="24"/>
        <w:szCs w:val="24"/>
      </w:rPr>
    </w:pPr>
  </w:p>
  <w:p w:rsidR="001B5808" w:rsidRPr="00E35541" w:rsidRDefault="001B5808">
    <w:pPr>
      <w:pStyle w:val="Encabezado"/>
      <w:jc w:val="center"/>
      <w:rPr>
        <w:sz w:val="24"/>
        <w:szCs w:val="24"/>
      </w:rPr>
    </w:pPr>
    <w:r w:rsidRPr="00E35541">
      <w:rPr>
        <w:sz w:val="24"/>
        <w:szCs w:val="24"/>
      </w:rPr>
      <w:t>SUPERINTENDENCIA FINANCIERA DE COLOMBIA</w:t>
    </w:r>
  </w:p>
  <w:p w:rsidR="001B5808" w:rsidRDefault="001B5808">
    <w:pPr>
      <w:pStyle w:val="Encabezado"/>
      <w:jc w:val="center"/>
      <w:rPr>
        <w:rFonts w:ascii="Arial (W1)" w:hAnsi="Arial (W1)"/>
        <w:b/>
        <w:sz w:val="24"/>
        <w:szCs w:val="24"/>
      </w:rPr>
    </w:pPr>
  </w:p>
  <w:p w:rsidR="001B5808" w:rsidRDefault="001B5808">
    <w:pPr>
      <w:pStyle w:val="Encabezado"/>
      <w:jc w:val="center"/>
      <w:rPr>
        <w:rFonts w:ascii="Arial (W1)" w:hAnsi="Arial (W1)"/>
        <w:b/>
        <w:sz w:val="24"/>
        <w:szCs w:val="24"/>
      </w:rPr>
    </w:pPr>
  </w:p>
  <w:p w:rsidR="001B5808" w:rsidRDefault="001B5808">
    <w:pPr>
      <w:pStyle w:val="Encabezado"/>
      <w:jc w:val="center"/>
      <w:rPr>
        <w:rFonts w:ascii="Arial (W1)" w:hAnsi="Arial (W1)"/>
        <w:b/>
        <w:sz w:val="24"/>
        <w:szCs w:val="24"/>
      </w:rPr>
    </w:pPr>
  </w:p>
  <w:p w:rsidR="001B5808" w:rsidRPr="00C0602C" w:rsidRDefault="001B5808" w:rsidP="00C0602C">
    <w:pPr>
      <w:pStyle w:val="Encabezado"/>
      <w:ind w:right="-21"/>
      <w:rPr>
        <w:rFonts w:ascii="Arial (W1)" w:hAnsi="Arial (W1)"/>
        <w:b/>
      </w:rPr>
    </w:pPr>
    <w:r>
      <w:rPr>
        <w:rFonts w:ascii="Arial (W1)" w:hAnsi="Arial (W1)"/>
        <w:b/>
        <w:sz w:val="18"/>
      </w:rPr>
      <w:t>CAPITULO</w:t>
    </w:r>
    <w:r w:rsidRPr="00C0602C">
      <w:rPr>
        <w:rFonts w:ascii="Arial (W1)" w:hAnsi="Arial (W1)"/>
        <w:b/>
        <w:sz w:val="18"/>
      </w:rPr>
      <w:t xml:space="preserve"> VI REGLAS  RELATIVAS AL SISTEMA DE ADMINISTRACIÓN DEL RIESGO DE LIQUIDEZ</w:t>
    </w:r>
  </w:p>
  <w:p w:rsidR="001B5808" w:rsidRPr="00C0602C" w:rsidRDefault="001B5808" w:rsidP="00C0602C">
    <w:pPr>
      <w:pStyle w:val="Encabezado"/>
      <w:jc w:val="both"/>
      <w:rPr>
        <w:rStyle w:val="Nmerodepgina"/>
        <w:rFonts w:ascii="Arial (W1)" w:hAnsi="Arial (W1)"/>
        <w:b/>
        <w:bCs/>
        <w:sz w:val="20"/>
      </w:rPr>
    </w:pPr>
    <w:r w:rsidRPr="00C0602C">
      <w:rPr>
        <w:rFonts w:ascii="Arial (W1)" w:hAnsi="Arial (W1)"/>
        <w:b/>
        <w:sz w:val="20"/>
      </w:rPr>
      <w:t xml:space="preserve">Página </w:t>
    </w:r>
    <w:r w:rsidRPr="00C0602C">
      <w:rPr>
        <w:rStyle w:val="Nmerodepgina"/>
        <w:rFonts w:ascii="Arial (W1)" w:hAnsi="Arial (W1)"/>
        <w:b/>
        <w:bCs/>
        <w:sz w:val="20"/>
      </w:rPr>
      <w:fldChar w:fldCharType="begin"/>
    </w:r>
    <w:r w:rsidRPr="00C0602C">
      <w:rPr>
        <w:rStyle w:val="Nmerodepgina"/>
        <w:rFonts w:ascii="Arial (W1)" w:hAnsi="Arial (W1)"/>
        <w:b/>
        <w:bCs/>
        <w:sz w:val="20"/>
      </w:rPr>
      <w:instrText xml:space="preserve"> PAGE </w:instrText>
    </w:r>
    <w:r w:rsidRPr="00C0602C">
      <w:rPr>
        <w:rStyle w:val="Nmerodepgina"/>
        <w:rFonts w:ascii="Arial (W1)" w:hAnsi="Arial (W1)"/>
        <w:b/>
        <w:bCs/>
        <w:sz w:val="20"/>
      </w:rPr>
      <w:fldChar w:fldCharType="separate"/>
    </w:r>
    <w:r>
      <w:rPr>
        <w:rStyle w:val="Nmerodepgina"/>
        <w:rFonts w:ascii="Arial (W1)" w:hAnsi="Arial (W1)"/>
        <w:b/>
        <w:bCs/>
        <w:noProof/>
        <w:sz w:val="20"/>
      </w:rPr>
      <w:t>1</w:t>
    </w:r>
    <w:r w:rsidRPr="00C0602C">
      <w:rPr>
        <w:rStyle w:val="Nmerodepgina"/>
        <w:rFonts w:ascii="Arial (W1)" w:hAnsi="Arial (W1)"/>
        <w:b/>
        <w:bCs/>
        <w:sz w:val="20"/>
      </w:rPr>
      <w:fldChar w:fldCharType="end"/>
    </w:r>
  </w:p>
  <w:p w:rsidR="001B5808" w:rsidRDefault="001B5808" w:rsidP="00C0602C">
    <w:pPr>
      <w:pStyle w:val="Encabezado"/>
      <w:jc w:val="both"/>
      <w:rPr>
        <w:rFonts w:ascii="Arial (W1)" w:hAnsi="Arial (W1)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500"/>
    <w:multiLevelType w:val="hybridMultilevel"/>
    <w:tmpl w:val="C1C88A16"/>
    <w:lvl w:ilvl="0" w:tplc="2A7642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867AC"/>
    <w:multiLevelType w:val="multilevel"/>
    <w:tmpl w:val="A182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E1F4F31"/>
    <w:multiLevelType w:val="hybridMultilevel"/>
    <w:tmpl w:val="3D4886C6"/>
    <w:lvl w:ilvl="0" w:tplc="DA628EB0">
      <w:start w:val="1"/>
      <w:numFmt w:val="lowerLetter"/>
      <w:pStyle w:val="Normal9pt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FD21622"/>
    <w:multiLevelType w:val="multilevel"/>
    <w:tmpl w:val="4B02E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628A2688"/>
    <w:multiLevelType w:val="hybridMultilevel"/>
    <w:tmpl w:val="4DC85F02"/>
    <w:lvl w:ilvl="0" w:tplc="773005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9A02BC">
      <w:numFmt w:val="none"/>
      <w:lvlText w:val=""/>
      <w:lvlJc w:val="left"/>
      <w:pPr>
        <w:tabs>
          <w:tab w:val="num" w:pos="360"/>
        </w:tabs>
      </w:pPr>
    </w:lvl>
    <w:lvl w:ilvl="2" w:tplc="2C38E55E">
      <w:numFmt w:val="none"/>
      <w:lvlText w:val=""/>
      <w:lvlJc w:val="left"/>
      <w:pPr>
        <w:tabs>
          <w:tab w:val="num" w:pos="360"/>
        </w:tabs>
      </w:pPr>
    </w:lvl>
    <w:lvl w:ilvl="3" w:tplc="FF6C6FE2">
      <w:numFmt w:val="none"/>
      <w:lvlText w:val=""/>
      <w:lvlJc w:val="left"/>
      <w:pPr>
        <w:tabs>
          <w:tab w:val="num" w:pos="360"/>
        </w:tabs>
      </w:pPr>
    </w:lvl>
    <w:lvl w:ilvl="4" w:tplc="A586B800">
      <w:numFmt w:val="none"/>
      <w:lvlText w:val=""/>
      <w:lvlJc w:val="left"/>
      <w:pPr>
        <w:tabs>
          <w:tab w:val="num" w:pos="360"/>
        </w:tabs>
      </w:pPr>
    </w:lvl>
    <w:lvl w:ilvl="5" w:tplc="4BC40FC4">
      <w:numFmt w:val="none"/>
      <w:lvlText w:val=""/>
      <w:lvlJc w:val="left"/>
      <w:pPr>
        <w:tabs>
          <w:tab w:val="num" w:pos="360"/>
        </w:tabs>
      </w:pPr>
    </w:lvl>
    <w:lvl w:ilvl="6" w:tplc="5492E5B0">
      <w:numFmt w:val="none"/>
      <w:lvlText w:val=""/>
      <w:lvlJc w:val="left"/>
      <w:pPr>
        <w:tabs>
          <w:tab w:val="num" w:pos="360"/>
        </w:tabs>
      </w:pPr>
    </w:lvl>
    <w:lvl w:ilvl="7" w:tplc="3B9C4C36">
      <w:numFmt w:val="none"/>
      <w:lvlText w:val=""/>
      <w:lvlJc w:val="left"/>
      <w:pPr>
        <w:tabs>
          <w:tab w:val="num" w:pos="360"/>
        </w:tabs>
      </w:pPr>
    </w:lvl>
    <w:lvl w:ilvl="8" w:tplc="32CAC3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3B0CC4"/>
    <w:multiLevelType w:val="multilevel"/>
    <w:tmpl w:val="74CC27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2"/>
  </w:num>
  <w:num w:numId="7">
    <w:abstractNumId w:val="5"/>
  </w:num>
  <w:num w:numId="8">
    <w:abstractNumId w:val="1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E2"/>
    <w:rsid w:val="00000958"/>
    <w:rsid w:val="00001F50"/>
    <w:rsid w:val="0000462C"/>
    <w:rsid w:val="00015223"/>
    <w:rsid w:val="00021013"/>
    <w:rsid w:val="00022A28"/>
    <w:rsid w:val="000276F4"/>
    <w:rsid w:val="000322B9"/>
    <w:rsid w:val="000343AE"/>
    <w:rsid w:val="00034E60"/>
    <w:rsid w:val="00042F99"/>
    <w:rsid w:val="000430EF"/>
    <w:rsid w:val="00044A2F"/>
    <w:rsid w:val="000552D0"/>
    <w:rsid w:val="00056205"/>
    <w:rsid w:val="00071946"/>
    <w:rsid w:val="00084BBC"/>
    <w:rsid w:val="000853FD"/>
    <w:rsid w:val="000857BF"/>
    <w:rsid w:val="00090783"/>
    <w:rsid w:val="000925CD"/>
    <w:rsid w:val="000962A4"/>
    <w:rsid w:val="000A1BA1"/>
    <w:rsid w:val="000D0A3E"/>
    <w:rsid w:val="000D2965"/>
    <w:rsid w:val="000D6721"/>
    <w:rsid w:val="000E692E"/>
    <w:rsid w:val="000E7993"/>
    <w:rsid w:val="000F11E7"/>
    <w:rsid w:val="00101D2C"/>
    <w:rsid w:val="00105C96"/>
    <w:rsid w:val="00112AB7"/>
    <w:rsid w:val="00112BAE"/>
    <w:rsid w:val="0011405B"/>
    <w:rsid w:val="00116982"/>
    <w:rsid w:val="00117B97"/>
    <w:rsid w:val="00121116"/>
    <w:rsid w:val="0012653B"/>
    <w:rsid w:val="001270A7"/>
    <w:rsid w:val="001279D9"/>
    <w:rsid w:val="00131941"/>
    <w:rsid w:val="001325BA"/>
    <w:rsid w:val="00136B95"/>
    <w:rsid w:val="00136E1B"/>
    <w:rsid w:val="00141653"/>
    <w:rsid w:val="0014170D"/>
    <w:rsid w:val="00145CF7"/>
    <w:rsid w:val="00146A76"/>
    <w:rsid w:val="0015047E"/>
    <w:rsid w:val="00154DEE"/>
    <w:rsid w:val="001602B2"/>
    <w:rsid w:val="00161E8A"/>
    <w:rsid w:val="0017083D"/>
    <w:rsid w:val="001727EA"/>
    <w:rsid w:val="00173389"/>
    <w:rsid w:val="0017499A"/>
    <w:rsid w:val="00180183"/>
    <w:rsid w:val="00186255"/>
    <w:rsid w:val="00190515"/>
    <w:rsid w:val="001943C8"/>
    <w:rsid w:val="001A2984"/>
    <w:rsid w:val="001A2B7A"/>
    <w:rsid w:val="001B064B"/>
    <w:rsid w:val="001B292C"/>
    <w:rsid w:val="001B4B64"/>
    <w:rsid w:val="001B5808"/>
    <w:rsid w:val="001B7CEE"/>
    <w:rsid w:val="001C6C5A"/>
    <w:rsid w:val="001C7FBB"/>
    <w:rsid w:val="001D7EDB"/>
    <w:rsid w:val="001E0CE4"/>
    <w:rsid w:val="001E7453"/>
    <w:rsid w:val="001F2760"/>
    <w:rsid w:val="001F3415"/>
    <w:rsid w:val="001F576F"/>
    <w:rsid w:val="001F680C"/>
    <w:rsid w:val="00214B3B"/>
    <w:rsid w:val="0022168D"/>
    <w:rsid w:val="0022574F"/>
    <w:rsid w:val="0022675D"/>
    <w:rsid w:val="00226CB5"/>
    <w:rsid w:val="0022793F"/>
    <w:rsid w:val="00233E98"/>
    <w:rsid w:val="00240CCE"/>
    <w:rsid w:val="002420D3"/>
    <w:rsid w:val="00242445"/>
    <w:rsid w:val="002520BD"/>
    <w:rsid w:val="00256B8E"/>
    <w:rsid w:val="00261742"/>
    <w:rsid w:val="002626CC"/>
    <w:rsid w:val="0026403E"/>
    <w:rsid w:val="002669C6"/>
    <w:rsid w:val="002707A5"/>
    <w:rsid w:val="0028473C"/>
    <w:rsid w:val="0029260C"/>
    <w:rsid w:val="00292DEB"/>
    <w:rsid w:val="002A5A93"/>
    <w:rsid w:val="002B3223"/>
    <w:rsid w:val="002C309B"/>
    <w:rsid w:val="002C3253"/>
    <w:rsid w:val="002C54A2"/>
    <w:rsid w:val="002C7800"/>
    <w:rsid w:val="002D2D8D"/>
    <w:rsid w:val="002D2EE4"/>
    <w:rsid w:val="002D3AF9"/>
    <w:rsid w:val="002D5694"/>
    <w:rsid w:val="002D67CD"/>
    <w:rsid w:val="002F62EF"/>
    <w:rsid w:val="002F684C"/>
    <w:rsid w:val="002F7F59"/>
    <w:rsid w:val="00302166"/>
    <w:rsid w:val="0030392B"/>
    <w:rsid w:val="00306AF5"/>
    <w:rsid w:val="003119CA"/>
    <w:rsid w:val="00314D67"/>
    <w:rsid w:val="00321139"/>
    <w:rsid w:val="00321EAF"/>
    <w:rsid w:val="003234E4"/>
    <w:rsid w:val="00330948"/>
    <w:rsid w:val="003313F1"/>
    <w:rsid w:val="00331FDD"/>
    <w:rsid w:val="003326A0"/>
    <w:rsid w:val="00332871"/>
    <w:rsid w:val="00333A65"/>
    <w:rsid w:val="003347FE"/>
    <w:rsid w:val="003349FF"/>
    <w:rsid w:val="0034145D"/>
    <w:rsid w:val="003414EF"/>
    <w:rsid w:val="00343C82"/>
    <w:rsid w:val="00345086"/>
    <w:rsid w:val="003473A7"/>
    <w:rsid w:val="0035418C"/>
    <w:rsid w:val="0035630F"/>
    <w:rsid w:val="00357D94"/>
    <w:rsid w:val="0036134C"/>
    <w:rsid w:val="00367F02"/>
    <w:rsid w:val="003758D7"/>
    <w:rsid w:val="00377163"/>
    <w:rsid w:val="00381E91"/>
    <w:rsid w:val="00382361"/>
    <w:rsid w:val="0038323B"/>
    <w:rsid w:val="00394CC9"/>
    <w:rsid w:val="003961A1"/>
    <w:rsid w:val="00396723"/>
    <w:rsid w:val="003978F1"/>
    <w:rsid w:val="003A3211"/>
    <w:rsid w:val="003A4B71"/>
    <w:rsid w:val="003B08F4"/>
    <w:rsid w:val="003B32DF"/>
    <w:rsid w:val="003C3EC8"/>
    <w:rsid w:val="003C5372"/>
    <w:rsid w:val="003D0735"/>
    <w:rsid w:val="003D117B"/>
    <w:rsid w:val="003E1EFE"/>
    <w:rsid w:val="003E6994"/>
    <w:rsid w:val="003F3650"/>
    <w:rsid w:val="003F68B2"/>
    <w:rsid w:val="00401A11"/>
    <w:rsid w:val="00405E1D"/>
    <w:rsid w:val="00407467"/>
    <w:rsid w:val="004133E5"/>
    <w:rsid w:val="0041553B"/>
    <w:rsid w:val="00417815"/>
    <w:rsid w:val="004179E0"/>
    <w:rsid w:val="00422E41"/>
    <w:rsid w:val="00426346"/>
    <w:rsid w:val="0042694D"/>
    <w:rsid w:val="00431D24"/>
    <w:rsid w:val="0043242A"/>
    <w:rsid w:val="00436C60"/>
    <w:rsid w:val="0044372E"/>
    <w:rsid w:val="00465F01"/>
    <w:rsid w:val="00466138"/>
    <w:rsid w:val="00470E0D"/>
    <w:rsid w:val="0047317F"/>
    <w:rsid w:val="00474A51"/>
    <w:rsid w:val="00481F7F"/>
    <w:rsid w:val="00482D34"/>
    <w:rsid w:val="00484B0F"/>
    <w:rsid w:val="004868CC"/>
    <w:rsid w:val="00487AA5"/>
    <w:rsid w:val="0049794E"/>
    <w:rsid w:val="004A2832"/>
    <w:rsid w:val="004A3C76"/>
    <w:rsid w:val="004B0E11"/>
    <w:rsid w:val="004C0161"/>
    <w:rsid w:val="004C19CE"/>
    <w:rsid w:val="004C1BE5"/>
    <w:rsid w:val="004D2C20"/>
    <w:rsid w:val="004D5757"/>
    <w:rsid w:val="004E2C37"/>
    <w:rsid w:val="004E3620"/>
    <w:rsid w:val="004E37A4"/>
    <w:rsid w:val="004E55B3"/>
    <w:rsid w:val="004F3B06"/>
    <w:rsid w:val="00501859"/>
    <w:rsid w:val="0050233B"/>
    <w:rsid w:val="00502347"/>
    <w:rsid w:val="00505941"/>
    <w:rsid w:val="00505D3C"/>
    <w:rsid w:val="005074BE"/>
    <w:rsid w:val="00507AEC"/>
    <w:rsid w:val="00514282"/>
    <w:rsid w:val="005202BB"/>
    <w:rsid w:val="00522838"/>
    <w:rsid w:val="005236E2"/>
    <w:rsid w:val="00523DA1"/>
    <w:rsid w:val="00542F1A"/>
    <w:rsid w:val="00543F91"/>
    <w:rsid w:val="00544302"/>
    <w:rsid w:val="005517A8"/>
    <w:rsid w:val="00561D6A"/>
    <w:rsid w:val="00566EBE"/>
    <w:rsid w:val="00572373"/>
    <w:rsid w:val="00580BC9"/>
    <w:rsid w:val="005821AC"/>
    <w:rsid w:val="0058389F"/>
    <w:rsid w:val="00584DD8"/>
    <w:rsid w:val="005959A7"/>
    <w:rsid w:val="00597DFB"/>
    <w:rsid w:val="005A229D"/>
    <w:rsid w:val="005A3DD8"/>
    <w:rsid w:val="005A4CF8"/>
    <w:rsid w:val="005A659E"/>
    <w:rsid w:val="005A6DDD"/>
    <w:rsid w:val="005B066A"/>
    <w:rsid w:val="005B196F"/>
    <w:rsid w:val="005B1C54"/>
    <w:rsid w:val="005B1DF8"/>
    <w:rsid w:val="005B2A15"/>
    <w:rsid w:val="005B38BD"/>
    <w:rsid w:val="005B58CC"/>
    <w:rsid w:val="005B69F7"/>
    <w:rsid w:val="005C08D4"/>
    <w:rsid w:val="005C28ED"/>
    <w:rsid w:val="005D7CEC"/>
    <w:rsid w:val="005E2936"/>
    <w:rsid w:val="005E2F87"/>
    <w:rsid w:val="005E4066"/>
    <w:rsid w:val="005E59FA"/>
    <w:rsid w:val="005E7C3E"/>
    <w:rsid w:val="005F3C5D"/>
    <w:rsid w:val="005F78F1"/>
    <w:rsid w:val="00601662"/>
    <w:rsid w:val="00602AFF"/>
    <w:rsid w:val="006038C3"/>
    <w:rsid w:val="00604095"/>
    <w:rsid w:val="00605A65"/>
    <w:rsid w:val="00605C99"/>
    <w:rsid w:val="006062CE"/>
    <w:rsid w:val="00616C6D"/>
    <w:rsid w:val="006231D7"/>
    <w:rsid w:val="006232F2"/>
    <w:rsid w:val="00625C6B"/>
    <w:rsid w:val="006365AD"/>
    <w:rsid w:val="0064011B"/>
    <w:rsid w:val="00641E7C"/>
    <w:rsid w:val="00645179"/>
    <w:rsid w:val="00645ADA"/>
    <w:rsid w:val="0065454C"/>
    <w:rsid w:val="00656F76"/>
    <w:rsid w:val="0066404C"/>
    <w:rsid w:val="00664633"/>
    <w:rsid w:val="006654D9"/>
    <w:rsid w:val="00665893"/>
    <w:rsid w:val="0067019B"/>
    <w:rsid w:val="0067147C"/>
    <w:rsid w:val="00682275"/>
    <w:rsid w:val="0068790C"/>
    <w:rsid w:val="006936EA"/>
    <w:rsid w:val="006B0D02"/>
    <w:rsid w:val="006B1161"/>
    <w:rsid w:val="006C3DEA"/>
    <w:rsid w:val="006C5121"/>
    <w:rsid w:val="006C6373"/>
    <w:rsid w:val="006D13FB"/>
    <w:rsid w:val="006D2315"/>
    <w:rsid w:val="006D40C1"/>
    <w:rsid w:val="006D5EAD"/>
    <w:rsid w:val="006D6209"/>
    <w:rsid w:val="006D6733"/>
    <w:rsid w:val="006E7607"/>
    <w:rsid w:val="006F3EBE"/>
    <w:rsid w:val="007015C7"/>
    <w:rsid w:val="00702E24"/>
    <w:rsid w:val="0070328D"/>
    <w:rsid w:val="00710021"/>
    <w:rsid w:val="00712AFF"/>
    <w:rsid w:val="007147F7"/>
    <w:rsid w:val="007148C7"/>
    <w:rsid w:val="00714C14"/>
    <w:rsid w:val="0072469D"/>
    <w:rsid w:val="00732221"/>
    <w:rsid w:val="0073246F"/>
    <w:rsid w:val="007376AD"/>
    <w:rsid w:val="007428C5"/>
    <w:rsid w:val="00742A70"/>
    <w:rsid w:val="00744D56"/>
    <w:rsid w:val="00746C29"/>
    <w:rsid w:val="0076089C"/>
    <w:rsid w:val="00760AD6"/>
    <w:rsid w:val="007612B7"/>
    <w:rsid w:val="007667C5"/>
    <w:rsid w:val="007707B6"/>
    <w:rsid w:val="00773587"/>
    <w:rsid w:val="007758D9"/>
    <w:rsid w:val="007768BD"/>
    <w:rsid w:val="00786AF5"/>
    <w:rsid w:val="00793831"/>
    <w:rsid w:val="007A299F"/>
    <w:rsid w:val="007A2E02"/>
    <w:rsid w:val="007A36E8"/>
    <w:rsid w:val="007A48E5"/>
    <w:rsid w:val="007A4BEC"/>
    <w:rsid w:val="007B1B3B"/>
    <w:rsid w:val="007B4A56"/>
    <w:rsid w:val="007B6B1A"/>
    <w:rsid w:val="007C40CD"/>
    <w:rsid w:val="007D0DF7"/>
    <w:rsid w:val="007D5A55"/>
    <w:rsid w:val="007F0B60"/>
    <w:rsid w:val="007F3051"/>
    <w:rsid w:val="007F760C"/>
    <w:rsid w:val="0080340E"/>
    <w:rsid w:val="00803DD5"/>
    <w:rsid w:val="00805AC1"/>
    <w:rsid w:val="00814EF0"/>
    <w:rsid w:val="00817CF4"/>
    <w:rsid w:val="00820F8A"/>
    <w:rsid w:val="008225F3"/>
    <w:rsid w:val="008251C5"/>
    <w:rsid w:val="008252FB"/>
    <w:rsid w:val="00832083"/>
    <w:rsid w:val="00833E8D"/>
    <w:rsid w:val="00837C04"/>
    <w:rsid w:val="00840F5C"/>
    <w:rsid w:val="00867B42"/>
    <w:rsid w:val="00870242"/>
    <w:rsid w:val="008707A6"/>
    <w:rsid w:val="00874FE5"/>
    <w:rsid w:val="008766A8"/>
    <w:rsid w:val="008769BA"/>
    <w:rsid w:val="00880708"/>
    <w:rsid w:val="008813BD"/>
    <w:rsid w:val="00881C2A"/>
    <w:rsid w:val="0088292A"/>
    <w:rsid w:val="008918A3"/>
    <w:rsid w:val="00893BC5"/>
    <w:rsid w:val="00895CD9"/>
    <w:rsid w:val="008A3EBD"/>
    <w:rsid w:val="008A4C1E"/>
    <w:rsid w:val="008B1618"/>
    <w:rsid w:val="008B39CB"/>
    <w:rsid w:val="008B667B"/>
    <w:rsid w:val="008C08D1"/>
    <w:rsid w:val="008C1BF0"/>
    <w:rsid w:val="008E6391"/>
    <w:rsid w:val="008F7B84"/>
    <w:rsid w:val="00900DF4"/>
    <w:rsid w:val="00905545"/>
    <w:rsid w:val="00905C6B"/>
    <w:rsid w:val="00906CAF"/>
    <w:rsid w:val="00907051"/>
    <w:rsid w:val="00910B01"/>
    <w:rsid w:val="00913D11"/>
    <w:rsid w:val="00920CF7"/>
    <w:rsid w:val="00927BFD"/>
    <w:rsid w:val="00931805"/>
    <w:rsid w:val="00934F1A"/>
    <w:rsid w:val="00937399"/>
    <w:rsid w:val="00944539"/>
    <w:rsid w:val="009457B5"/>
    <w:rsid w:val="00946F27"/>
    <w:rsid w:val="00951F4B"/>
    <w:rsid w:val="00953A58"/>
    <w:rsid w:val="009558B0"/>
    <w:rsid w:val="00963EFB"/>
    <w:rsid w:val="00966477"/>
    <w:rsid w:val="00973C3C"/>
    <w:rsid w:val="00975CE9"/>
    <w:rsid w:val="00976AAE"/>
    <w:rsid w:val="00980B90"/>
    <w:rsid w:val="009843DA"/>
    <w:rsid w:val="00984EEC"/>
    <w:rsid w:val="00986133"/>
    <w:rsid w:val="00986530"/>
    <w:rsid w:val="00995443"/>
    <w:rsid w:val="009B5414"/>
    <w:rsid w:val="009B7873"/>
    <w:rsid w:val="009D07A4"/>
    <w:rsid w:val="009D116E"/>
    <w:rsid w:val="009D1DDE"/>
    <w:rsid w:val="009D5234"/>
    <w:rsid w:val="009E37C3"/>
    <w:rsid w:val="009E3F22"/>
    <w:rsid w:val="009E68E2"/>
    <w:rsid w:val="009F0965"/>
    <w:rsid w:val="009F5357"/>
    <w:rsid w:val="009F5843"/>
    <w:rsid w:val="00A117AE"/>
    <w:rsid w:val="00A122C4"/>
    <w:rsid w:val="00A14631"/>
    <w:rsid w:val="00A15927"/>
    <w:rsid w:val="00A17CB3"/>
    <w:rsid w:val="00A26CFD"/>
    <w:rsid w:val="00A27A2C"/>
    <w:rsid w:val="00A3082C"/>
    <w:rsid w:val="00A4169B"/>
    <w:rsid w:val="00A51B6B"/>
    <w:rsid w:val="00A51E7C"/>
    <w:rsid w:val="00A52B11"/>
    <w:rsid w:val="00A54FDA"/>
    <w:rsid w:val="00A56CDB"/>
    <w:rsid w:val="00A573E7"/>
    <w:rsid w:val="00A606AD"/>
    <w:rsid w:val="00A61837"/>
    <w:rsid w:val="00A917CF"/>
    <w:rsid w:val="00A955EE"/>
    <w:rsid w:val="00A9705C"/>
    <w:rsid w:val="00AA479C"/>
    <w:rsid w:val="00AA5A14"/>
    <w:rsid w:val="00AA73B4"/>
    <w:rsid w:val="00AA77EF"/>
    <w:rsid w:val="00AB1C36"/>
    <w:rsid w:val="00AC1A2B"/>
    <w:rsid w:val="00AC1EA2"/>
    <w:rsid w:val="00AC2A05"/>
    <w:rsid w:val="00AC4514"/>
    <w:rsid w:val="00AC5AD1"/>
    <w:rsid w:val="00AD152F"/>
    <w:rsid w:val="00AD3D47"/>
    <w:rsid w:val="00AE328F"/>
    <w:rsid w:val="00AE7F97"/>
    <w:rsid w:val="00AF3B19"/>
    <w:rsid w:val="00AF51D3"/>
    <w:rsid w:val="00AF58AC"/>
    <w:rsid w:val="00AF6BEA"/>
    <w:rsid w:val="00B05E0F"/>
    <w:rsid w:val="00B06B18"/>
    <w:rsid w:val="00B0765B"/>
    <w:rsid w:val="00B10D65"/>
    <w:rsid w:val="00B1297A"/>
    <w:rsid w:val="00B168ED"/>
    <w:rsid w:val="00B27A3E"/>
    <w:rsid w:val="00B345F0"/>
    <w:rsid w:val="00B34DC0"/>
    <w:rsid w:val="00B368B6"/>
    <w:rsid w:val="00B43BE6"/>
    <w:rsid w:val="00B458C3"/>
    <w:rsid w:val="00B5227E"/>
    <w:rsid w:val="00B60CFB"/>
    <w:rsid w:val="00B6201F"/>
    <w:rsid w:val="00B62876"/>
    <w:rsid w:val="00B67578"/>
    <w:rsid w:val="00B74C46"/>
    <w:rsid w:val="00B77345"/>
    <w:rsid w:val="00B80EF5"/>
    <w:rsid w:val="00BA547C"/>
    <w:rsid w:val="00BA66A0"/>
    <w:rsid w:val="00BC2C6E"/>
    <w:rsid w:val="00BC42B6"/>
    <w:rsid w:val="00BC49A9"/>
    <w:rsid w:val="00BC6720"/>
    <w:rsid w:val="00BD6DCD"/>
    <w:rsid w:val="00BE4FB2"/>
    <w:rsid w:val="00BE50B7"/>
    <w:rsid w:val="00BE574A"/>
    <w:rsid w:val="00BE7396"/>
    <w:rsid w:val="00BE7495"/>
    <w:rsid w:val="00BF152C"/>
    <w:rsid w:val="00BF319F"/>
    <w:rsid w:val="00BF5F5A"/>
    <w:rsid w:val="00C032DB"/>
    <w:rsid w:val="00C050BA"/>
    <w:rsid w:val="00C059F7"/>
    <w:rsid w:val="00C0602C"/>
    <w:rsid w:val="00C06AD8"/>
    <w:rsid w:val="00C136CF"/>
    <w:rsid w:val="00C20D6D"/>
    <w:rsid w:val="00C26DEB"/>
    <w:rsid w:val="00C314F0"/>
    <w:rsid w:val="00C355DD"/>
    <w:rsid w:val="00C45B64"/>
    <w:rsid w:val="00C514FD"/>
    <w:rsid w:val="00C53121"/>
    <w:rsid w:val="00C5498A"/>
    <w:rsid w:val="00C630DB"/>
    <w:rsid w:val="00C70CF0"/>
    <w:rsid w:val="00C71C44"/>
    <w:rsid w:val="00C77157"/>
    <w:rsid w:val="00C83630"/>
    <w:rsid w:val="00C933D6"/>
    <w:rsid w:val="00CA1A44"/>
    <w:rsid w:val="00CA324F"/>
    <w:rsid w:val="00CA3359"/>
    <w:rsid w:val="00CA3A4C"/>
    <w:rsid w:val="00CB53C3"/>
    <w:rsid w:val="00CB5E41"/>
    <w:rsid w:val="00CC6980"/>
    <w:rsid w:val="00CC74B3"/>
    <w:rsid w:val="00CD01DC"/>
    <w:rsid w:val="00CE3AC4"/>
    <w:rsid w:val="00CE7405"/>
    <w:rsid w:val="00CF31C7"/>
    <w:rsid w:val="00CF7824"/>
    <w:rsid w:val="00D025F3"/>
    <w:rsid w:val="00D02DAF"/>
    <w:rsid w:val="00D10485"/>
    <w:rsid w:val="00D128AA"/>
    <w:rsid w:val="00D14357"/>
    <w:rsid w:val="00D14DD6"/>
    <w:rsid w:val="00D16DDB"/>
    <w:rsid w:val="00D2011F"/>
    <w:rsid w:val="00D20505"/>
    <w:rsid w:val="00D23789"/>
    <w:rsid w:val="00D23910"/>
    <w:rsid w:val="00D239DD"/>
    <w:rsid w:val="00D2577A"/>
    <w:rsid w:val="00D53986"/>
    <w:rsid w:val="00D57F26"/>
    <w:rsid w:val="00D66050"/>
    <w:rsid w:val="00D863EA"/>
    <w:rsid w:val="00D874A2"/>
    <w:rsid w:val="00D93B0F"/>
    <w:rsid w:val="00D94701"/>
    <w:rsid w:val="00D94F0F"/>
    <w:rsid w:val="00D95B12"/>
    <w:rsid w:val="00DA3B1F"/>
    <w:rsid w:val="00DB0D1A"/>
    <w:rsid w:val="00DB6F42"/>
    <w:rsid w:val="00DC19F4"/>
    <w:rsid w:val="00DC4682"/>
    <w:rsid w:val="00DE2EA0"/>
    <w:rsid w:val="00DE5B3E"/>
    <w:rsid w:val="00DE6E1D"/>
    <w:rsid w:val="00DF0B10"/>
    <w:rsid w:val="00DF48A8"/>
    <w:rsid w:val="00E01179"/>
    <w:rsid w:val="00E01B8A"/>
    <w:rsid w:val="00E02890"/>
    <w:rsid w:val="00E03709"/>
    <w:rsid w:val="00E13EFF"/>
    <w:rsid w:val="00E243C4"/>
    <w:rsid w:val="00E24776"/>
    <w:rsid w:val="00E31512"/>
    <w:rsid w:val="00E31683"/>
    <w:rsid w:val="00E34E0F"/>
    <w:rsid w:val="00E35541"/>
    <w:rsid w:val="00E3607D"/>
    <w:rsid w:val="00E4114A"/>
    <w:rsid w:val="00E4362B"/>
    <w:rsid w:val="00E4537A"/>
    <w:rsid w:val="00E54559"/>
    <w:rsid w:val="00E6288F"/>
    <w:rsid w:val="00E676EE"/>
    <w:rsid w:val="00E71A29"/>
    <w:rsid w:val="00E75EC3"/>
    <w:rsid w:val="00E75F0B"/>
    <w:rsid w:val="00E8392C"/>
    <w:rsid w:val="00E8478A"/>
    <w:rsid w:val="00E848EE"/>
    <w:rsid w:val="00E85AB7"/>
    <w:rsid w:val="00E85B53"/>
    <w:rsid w:val="00E946ED"/>
    <w:rsid w:val="00E95FE2"/>
    <w:rsid w:val="00E96C5B"/>
    <w:rsid w:val="00E96FC6"/>
    <w:rsid w:val="00EA37CF"/>
    <w:rsid w:val="00EA5843"/>
    <w:rsid w:val="00EA7068"/>
    <w:rsid w:val="00EB2C33"/>
    <w:rsid w:val="00EB5FF9"/>
    <w:rsid w:val="00ED57DD"/>
    <w:rsid w:val="00EE62D0"/>
    <w:rsid w:val="00F02601"/>
    <w:rsid w:val="00F07ACE"/>
    <w:rsid w:val="00F1008C"/>
    <w:rsid w:val="00F129AB"/>
    <w:rsid w:val="00F318A9"/>
    <w:rsid w:val="00F42753"/>
    <w:rsid w:val="00F43147"/>
    <w:rsid w:val="00F43CD2"/>
    <w:rsid w:val="00F44BBC"/>
    <w:rsid w:val="00F52492"/>
    <w:rsid w:val="00F55A9D"/>
    <w:rsid w:val="00F5617F"/>
    <w:rsid w:val="00F60293"/>
    <w:rsid w:val="00F61B73"/>
    <w:rsid w:val="00F6387F"/>
    <w:rsid w:val="00F70466"/>
    <w:rsid w:val="00F83956"/>
    <w:rsid w:val="00F90C8D"/>
    <w:rsid w:val="00FA060B"/>
    <w:rsid w:val="00FA4D05"/>
    <w:rsid w:val="00FB409D"/>
    <w:rsid w:val="00FB4D4D"/>
    <w:rsid w:val="00FB4D7C"/>
    <w:rsid w:val="00FC0711"/>
    <w:rsid w:val="00FD1EDD"/>
    <w:rsid w:val="00FD6371"/>
    <w:rsid w:val="00FE2C6F"/>
    <w:rsid w:val="00FE45F4"/>
    <w:rsid w:val="00FF03E4"/>
    <w:rsid w:val="00FF1274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i/>
        <w:sz w:val="22"/>
        <w:szCs w:val="18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BE6"/>
  </w:style>
  <w:style w:type="paragraph" w:styleId="Ttulo1">
    <w:name w:val="heading 1"/>
    <w:basedOn w:val="Normal"/>
    <w:next w:val="Normal"/>
    <w:qFormat/>
    <w:rsid w:val="00B43BE6"/>
    <w:pPr>
      <w:keepNext/>
      <w:outlineLvl w:val="0"/>
    </w:pPr>
    <w:rPr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43BE6"/>
    <w:pPr>
      <w:jc w:val="both"/>
    </w:pPr>
    <w:rPr>
      <w:sz w:val="24"/>
      <w:szCs w:val="24"/>
      <w:lang w:val="es-MX"/>
    </w:rPr>
  </w:style>
  <w:style w:type="paragraph" w:styleId="Ttulo">
    <w:name w:val="Title"/>
    <w:basedOn w:val="Normal"/>
    <w:qFormat/>
    <w:rsid w:val="00B43BE6"/>
    <w:pPr>
      <w:jc w:val="center"/>
      <w:outlineLvl w:val="0"/>
    </w:pPr>
    <w:rPr>
      <w:rFonts w:cs="Times New Roman"/>
      <w:b/>
      <w:bCs/>
      <w:szCs w:val="22"/>
      <w:lang w:val="es-MX"/>
    </w:rPr>
  </w:style>
  <w:style w:type="paragraph" w:styleId="Sangradetextonormal">
    <w:name w:val="Body Text Indent"/>
    <w:basedOn w:val="Normal"/>
    <w:rsid w:val="00B43BE6"/>
    <w:pPr>
      <w:keepNext/>
      <w:ind w:left="284" w:hanging="284"/>
      <w:jc w:val="both"/>
    </w:pPr>
    <w:rPr>
      <w:rFonts w:cs="Times New Roman"/>
      <w:sz w:val="20"/>
      <w:szCs w:val="20"/>
      <w:lang w:val="es-MX"/>
    </w:rPr>
  </w:style>
  <w:style w:type="paragraph" w:styleId="Textoindependiente3">
    <w:name w:val="Body Text 3"/>
    <w:basedOn w:val="Normal"/>
    <w:rsid w:val="00B43BE6"/>
    <w:pPr>
      <w:jc w:val="both"/>
    </w:pPr>
    <w:rPr>
      <w:rFonts w:cs="Times New Roman"/>
      <w:sz w:val="20"/>
      <w:szCs w:val="20"/>
      <w:lang w:val="es-MX"/>
    </w:rPr>
  </w:style>
  <w:style w:type="paragraph" w:styleId="Piedepgina">
    <w:name w:val="footer"/>
    <w:basedOn w:val="Normal"/>
    <w:rsid w:val="00B43BE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43BE6"/>
    <w:rPr>
      <w:rFonts w:cs="Times New Roman"/>
    </w:rPr>
  </w:style>
  <w:style w:type="paragraph" w:styleId="Encabezado">
    <w:name w:val="header"/>
    <w:basedOn w:val="Normal"/>
    <w:rsid w:val="00B43BE6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B43BE6"/>
    <w:rPr>
      <w:rFonts w:cs="Times New Roman"/>
      <w:vertAlign w:val="superscript"/>
    </w:rPr>
  </w:style>
  <w:style w:type="paragraph" w:styleId="Mapadeldocumento">
    <w:name w:val="Document Map"/>
    <w:basedOn w:val="Normal"/>
    <w:semiHidden/>
    <w:rsid w:val="00B43B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9pt">
    <w:name w:val="Normal + 9 pt"/>
    <w:aliases w:val="Sin Expandido / Comprimido"/>
    <w:basedOn w:val="Textoindependiente"/>
    <w:rsid w:val="00B43BE6"/>
    <w:pPr>
      <w:numPr>
        <w:numId w:val="1"/>
      </w:numPr>
    </w:pPr>
    <w:rPr>
      <w:sz w:val="18"/>
      <w:szCs w:val="18"/>
    </w:rPr>
  </w:style>
  <w:style w:type="paragraph" w:styleId="Textodeglobo">
    <w:name w:val="Balloon Text"/>
    <w:basedOn w:val="Normal"/>
    <w:semiHidden/>
    <w:rsid w:val="00B43B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B43BE6"/>
    <w:rPr>
      <w:sz w:val="16"/>
      <w:szCs w:val="16"/>
    </w:rPr>
  </w:style>
  <w:style w:type="paragraph" w:styleId="Textocomentario">
    <w:name w:val="annotation text"/>
    <w:basedOn w:val="Normal"/>
    <w:semiHidden/>
    <w:rsid w:val="00B43B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43BE6"/>
    <w:rPr>
      <w:b/>
      <w:bCs/>
    </w:rPr>
  </w:style>
  <w:style w:type="paragraph" w:styleId="Textonotapie">
    <w:name w:val="footnote text"/>
    <w:basedOn w:val="Normal"/>
    <w:link w:val="TextonotapieCar"/>
    <w:semiHidden/>
    <w:rsid w:val="00E01B8A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57D94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C77157"/>
    <w:rPr>
      <w:rFonts w:ascii="Arial" w:hAnsi="Arial" w:cs="Arial"/>
      <w:spacing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978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i/>
        <w:sz w:val="22"/>
        <w:szCs w:val="18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BE6"/>
  </w:style>
  <w:style w:type="paragraph" w:styleId="Ttulo1">
    <w:name w:val="heading 1"/>
    <w:basedOn w:val="Normal"/>
    <w:next w:val="Normal"/>
    <w:qFormat/>
    <w:rsid w:val="00B43BE6"/>
    <w:pPr>
      <w:keepNext/>
      <w:outlineLvl w:val="0"/>
    </w:pPr>
    <w:rPr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43BE6"/>
    <w:pPr>
      <w:jc w:val="both"/>
    </w:pPr>
    <w:rPr>
      <w:sz w:val="24"/>
      <w:szCs w:val="24"/>
      <w:lang w:val="es-MX"/>
    </w:rPr>
  </w:style>
  <w:style w:type="paragraph" w:styleId="Ttulo">
    <w:name w:val="Title"/>
    <w:basedOn w:val="Normal"/>
    <w:qFormat/>
    <w:rsid w:val="00B43BE6"/>
    <w:pPr>
      <w:jc w:val="center"/>
      <w:outlineLvl w:val="0"/>
    </w:pPr>
    <w:rPr>
      <w:rFonts w:cs="Times New Roman"/>
      <w:b/>
      <w:bCs/>
      <w:szCs w:val="22"/>
      <w:lang w:val="es-MX"/>
    </w:rPr>
  </w:style>
  <w:style w:type="paragraph" w:styleId="Sangradetextonormal">
    <w:name w:val="Body Text Indent"/>
    <w:basedOn w:val="Normal"/>
    <w:rsid w:val="00B43BE6"/>
    <w:pPr>
      <w:keepNext/>
      <w:ind w:left="284" w:hanging="284"/>
      <w:jc w:val="both"/>
    </w:pPr>
    <w:rPr>
      <w:rFonts w:cs="Times New Roman"/>
      <w:sz w:val="20"/>
      <w:szCs w:val="20"/>
      <w:lang w:val="es-MX"/>
    </w:rPr>
  </w:style>
  <w:style w:type="paragraph" w:styleId="Textoindependiente3">
    <w:name w:val="Body Text 3"/>
    <w:basedOn w:val="Normal"/>
    <w:rsid w:val="00B43BE6"/>
    <w:pPr>
      <w:jc w:val="both"/>
    </w:pPr>
    <w:rPr>
      <w:rFonts w:cs="Times New Roman"/>
      <w:sz w:val="20"/>
      <w:szCs w:val="20"/>
      <w:lang w:val="es-MX"/>
    </w:rPr>
  </w:style>
  <w:style w:type="paragraph" w:styleId="Piedepgina">
    <w:name w:val="footer"/>
    <w:basedOn w:val="Normal"/>
    <w:rsid w:val="00B43BE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43BE6"/>
    <w:rPr>
      <w:rFonts w:cs="Times New Roman"/>
    </w:rPr>
  </w:style>
  <w:style w:type="paragraph" w:styleId="Encabezado">
    <w:name w:val="header"/>
    <w:basedOn w:val="Normal"/>
    <w:rsid w:val="00B43BE6"/>
    <w:pPr>
      <w:tabs>
        <w:tab w:val="center" w:pos="4252"/>
        <w:tab w:val="right" w:pos="8504"/>
      </w:tabs>
    </w:pPr>
  </w:style>
  <w:style w:type="character" w:styleId="Refdenotaalpie">
    <w:name w:val="footnote reference"/>
    <w:basedOn w:val="Fuentedeprrafopredeter"/>
    <w:semiHidden/>
    <w:rsid w:val="00B43BE6"/>
    <w:rPr>
      <w:rFonts w:cs="Times New Roman"/>
      <w:vertAlign w:val="superscript"/>
    </w:rPr>
  </w:style>
  <w:style w:type="paragraph" w:styleId="Mapadeldocumento">
    <w:name w:val="Document Map"/>
    <w:basedOn w:val="Normal"/>
    <w:semiHidden/>
    <w:rsid w:val="00B43B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9pt">
    <w:name w:val="Normal + 9 pt"/>
    <w:aliases w:val="Sin Expandido / Comprimido"/>
    <w:basedOn w:val="Textoindependiente"/>
    <w:rsid w:val="00B43BE6"/>
    <w:pPr>
      <w:numPr>
        <w:numId w:val="1"/>
      </w:numPr>
    </w:pPr>
    <w:rPr>
      <w:sz w:val="18"/>
      <w:szCs w:val="18"/>
    </w:rPr>
  </w:style>
  <w:style w:type="paragraph" w:styleId="Textodeglobo">
    <w:name w:val="Balloon Text"/>
    <w:basedOn w:val="Normal"/>
    <w:semiHidden/>
    <w:rsid w:val="00B43BE6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B43BE6"/>
    <w:rPr>
      <w:sz w:val="16"/>
      <w:szCs w:val="16"/>
    </w:rPr>
  </w:style>
  <w:style w:type="paragraph" w:styleId="Textocomentario">
    <w:name w:val="annotation text"/>
    <w:basedOn w:val="Normal"/>
    <w:semiHidden/>
    <w:rsid w:val="00B43B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43BE6"/>
    <w:rPr>
      <w:b/>
      <w:bCs/>
    </w:rPr>
  </w:style>
  <w:style w:type="paragraph" w:styleId="Textonotapie">
    <w:name w:val="footnote text"/>
    <w:basedOn w:val="Normal"/>
    <w:link w:val="TextonotapieCar"/>
    <w:semiHidden/>
    <w:rsid w:val="00E01B8A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57D94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semiHidden/>
    <w:rsid w:val="00C77157"/>
    <w:rPr>
      <w:rFonts w:ascii="Arial" w:hAnsi="Arial" w:cs="Arial"/>
      <w:spacing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978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9549-C2F8-4E7B-A7E1-C91A5FC2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1547</Words>
  <Characters>8509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XXI: REGLAS APLICABLES A LA GESTIÓN DE LOS RIESGOS DE MERCADO</vt:lpstr>
    </vt:vector>
  </TitlesOfParts>
  <Company>Superfinanciera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XXI: REGLAS APLICABLES A LA GESTIÓN DE LOS RIESGOS DE MERCADO</dc:title>
  <dc:creator>Soporte Técnico</dc:creator>
  <cp:lastModifiedBy>gaospina</cp:lastModifiedBy>
  <cp:revision>2</cp:revision>
  <cp:lastPrinted>2014-04-22T21:47:00Z</cp:lastPrinted>
  <dcterms:created xsi:type="dcterms:W3CDTF">2014-04-23T18:03:00Z</dcterms:created>
  <dcterms:modified xsi:type="dcterms:W3CDTF">2014-04-23T18:03:00Z</dcterms:modified>
</cp:coreProperties>
</file>